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rPr>
          <w:rFonts w:ascii="Arial" w:cs="Arial" w:hAnsi="Arial" w:eastAsia="Arial"/>
          <w:sz w:val="20"/>
          <w:szCs w:val="20"/>
        </w:rPr>
      </w:pPr>
      <w:r>
        <w:rPr>
          <w:rFonts w:ascii="Arial" w:hAnsi="Arial"/>
          <w:sz w:val="20"/>
          <w:szCs w:val="20"/>
        </w:rPr>
        <w:drawing>
          <wp:inline distT="0" distB="0" distL="0" distR="0">
            <wp:extent cx="3227833" cy="7315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3227833" cy="731520"/>
                    </a:xfrm>
                    <a:prstGeom prst="rect">
                      <a:avLst/>
                    </a:prstGeom>
                    <a:ln w="12700" cap="flat">
                      <a:noFill/>
                      <a:miter lim="400000"/>
                    </a:ln>
                    <a:effectLst/>
                  </pic:spPr>
                </pic:pic>
              </a:graphicData>
            </a:graphic>
          </wp:inline>
        </w:drawing>
      </w:r>
      <w:r>
        <w:rPr>
          <w:rFonts w:ascii="Arial" w:hAnsi="Arial"/>
          <w:sz w:val="20"/>
          <w:szCs w:val="20"/>
          <w:rtl w:val="0"/>
          <w:lang w:val="en-US"/>
        </w:rPr>
        <w:t xml:space="preserve"> </w:t>
      </w:r>
    </w:p>
    <w:p>
      <w:pPr>
        <w:pStyle w:val="Body A"/>
        <w:spacing w:line="360" w:lineRule="auto"/>
        <w:rPr>
          <w:rFonts w:ascii="Arial" w:cs="Arial" w:hAnsi="Arial" w:eastAsia="Arial"/>
          <w:sz w:val="20"/>
          <w:szCs w:val="20"/>
        </w:rPr>
      </w:pPr>
    </w:p>
    <w:p>
      <w:pPr>
        <w:pStyle w:val="Body A"/>
        <w:spacing w:line="360" w:lineRule="auto"/>
        <w:ind w:left="1440" w:firstLine="720"/>
        <w:rPr>
          <w:rFonts w:ascii="Cambria" w:cs="Cambria" w:hAnsi="Cambria" w:eastAsia="Cambria"/>
          <w:sz w:val="36"/>
          <w:szCs w:val="36"/>
        </w:rPr>
      </w:pPr>
      <w:r>
        <w:rPr>
          <w:rFonts w:ascii="Cambria" w:cs="Cambria" w:hAnsi="Cambria" w:eastAsia="Cambria"/>
          <w:b w:val="1"/>
          <w:bCs w:val="1"/>
          <w:sz w:val="36"/>
          <w:szCs w:val="36"/>
          <w:rtl w:val="0"/>
          <w:lang w:val="en-US"/>
        </w:rPr>
        <w:t>FOR IMMEDIATE RELEASE</w:t>
      </w:r>
    </w:p>
    <w:p>
      <w:pPr>
        <w:pStyle w:val="Body A"/>
        <w:spacing w:line="360" w:lineRule="auto"/>
        <w:rPr>
          <w:rFonts w:ascii="Cambria" w:cs="Cambria" w:hAnsi="Cambria" w:eastAsia="Cambria"/>
          <w:sz w:val="20"/>
          <w:szCs w:val="20"/>
        </w:rPr>
      </w:pPr>
    </w:p>
    <w:p>
      <w:pPr>
        <w:pStyle w:val="Body A"/>
        <w:spacing w:line="360" w:lineRule="auto"/>
        <w:rPr>
          <w:rFonts w:ascii="Cambria" w:cs="Cambria" w:hAnsi="Cambria" w:eastAsia="Cambria"/>
          <w:sz w:val="20"/>
          <w:szCs w:val="20"/>
        </w:rPr>
      </w:pPr>
    </w:p>
    <w:p>
      <w:pPr>
        <w:pStyle w:val="Body A"/>
        <w:spacing w:line="360" w:lineRule="auto"/>
        <w:rPr>
          <w:rFonts w:ascii="Cambria" w:cs="Cambria" w:hAnsi="Cambria" w:eastAsia="Cambria"/>
          <w:sz w:val="20"/>
          <w:szCs w:val="20"/>
        </w:rPr>
      </w:pPr>
    </w:p>
    <w:p>
      <w:pPr>
        <w:pStyle w:val="Body A"/>
        <w:spacing w:line="360" w:lineRule="auto"/>
        <w:rPr>
          <w:rFonts w:ascii="Cambria" w:cs="Cambria" w:hAnsi="Cambria" w:eastAsia="Cambria"/>
          <w:sz w:val="20"/>
          <w:szCs w:val="20"/>
        </w:rPr>
      </w:pPr>
      <w:r>
        <w:rPr>
          <w:rFonts w:ascii="Cambria" w:cs="Cambria" w:hAnsi="Cambria" w:eastAsia="Cambria"/>
          <w:sz w:val="20"/>
          <w:szCs w:val="20"/>
          <w:rtl w:val="0"/>
          <w:lang w:val="en-US"/>
        </w:rPr>
        <w:t>Contact: Will Davison</w:t>
        <w:tab/>
      </w:r>
    </w:p>
    <w:p>
      <w:pPr>
        <w:pStyle w:val="Body A"/>
        <w:spacing w:line="360" w:lineRule="auto"/>
        <w:rPr>
          <w:rFonts w:ascii="Cambria" w:cs="Cambria" w:hAnsi="Cambria" w:eastAsia="Cambria"/>
          <w:sz w:val="20"/>
          <w:szCs w:val="20"/>
        </w:rPr>
      </w:pPr>
      <w:r>
        <w:rPr>
          <w:rFonts w:ascii="Cambria" w:cs="Cambria" w:hAnsi="Cambria" w:eastAsia="Cambria"/>
          <w:sz w:val="20"/>
          <w:szCs w:val="20"/>
          <w:rtl w:val="0"/>
          <w:lang w:val="en-US"/>
        </w:rPr>
        <w:t>Tel. 347-458-2460</w:t>
      </w:r>
    </w:p>
    <w:p>
      <w:pPr>
        <w:pStyle w:val="Body A"/>
        <w:spacing w:line="360" w:lineRule="auto"/>
        <w:rPr>
          <w:rFonts w:ascii="Cambria" w:cs="Cambria" w:hAnsi="Cambria" w:eastAsia="Cambria"/>
          <w:sz w:val="20"/>
          <w:szCs w:val="20"/>
        </w:rPr>
      </w:pPr>
      <w:r>
        <w:rPr>
          <w:rFonts w:ascii="Cambria" w:cs="Cambria" w:hAnsi="Cambria" w:eastAsia="Cambria"/>
          <w:sz w:val="20"/>
          <w:szCs w:val="20"/>
          <w:rtl w:val="0"/>
          <w:lang w:val="en-US"/>
        </w:rPr>
        <w:t>Email: will@higherglyphs.com</w:t>
      </w:r>
    </w:p>
    <w:p>
      <w:pPr>
        <w:pStyle w:val="Body A"/>
        <w:spacing w:line="360" w:lineRule="auto"/>
        <w:rPr>
          <w:rFonts w:ascii="Cambria" w:cs="Cambria" w:hAnsi="Cambria" w:eastAsia="Cambria"/>
          <w:sz w:val="20"/>
          <w:szCs w:val="20"/>
          <w:lang w:val="de-DE"/>
        </w:rPr>
      </w:pPr>
      <w:r>
        <w:rPr>
          <w:rFonts w:ascii="Cambria" w:cs="Cambria" w:hAnsi="Cambria" w:eastAsia="Cambria"/>
          <w:sz w:val="20"/>
          <w:szCs w:val="20"/>
          <w:rtl w:val="0"/>
          <w:lang w:val="de-DE"/>
        </w:rPr>
        <w:t>Date: July 22, 2014</w:t>
      </w:r>
    </w:p>
    <w:p>
      <w:pPr>
        <w:pStyle w:val="Body A"/>
        <w:spacing w:line="360" w:lineRule="auto"/>
        <w:jc w:val="center"/>
        <w:rPr>
          <w:rFonts w:ascii="Cambria" w:cs="Cambria" w:hAnsi="Cambria" w:eastAsia="Cambria"/>
          <w:sz w:val="22"/>
          <w:szCs w:val="22"/>
        </w:rPr>
      </w:pPr>
    </w:p>
    <w:p>
      <w:pPr>
        <w:pStyle w:val="Body A"/>
        <w:spacing w:line="360" w:lineRule="auto"/>
        <w:jc w:val="center"/>
        <w:rPr>
          <w:rFonts w:ascii="Cambria" w:cs="Cambria" w:hAnsi="Cambria" w:eastAsia="Cambria"/>
          <w:b w:val="1"/>
          <w:bCs w:val="1"/>
          <w:sz w:val="22"/>
          <w:szCs w:val="22"/>
          <w:lang w:val="de-DE"/>
        </w:rPr>
      </w:pPr>
      <w:r>
        <w:rPr>
          <w:rFonts w:ascii="Cambria" w:cs="Cambria" w:hAnsi="Cambria" w:eastAsia="Cambria"/>
          <w:b w:val="1"/>
          <w:bCs w:val="1"/>
          <w:sz w:val="22"/>
          <w:szCs w:val="22"/>
          <w:rtl w:val="0"/>
          <w:lang w:val="de-DE"/>
        </w:rPr>
        <w:t xml:space="preserve">VERTICAL FIELDS CAPITAL LLC ACQUIRES </w:t>
      </w:r>
    </w:p>
    <w:p>
      <w:pPr>
        <w:pStyle w:val="Body A"/>
        <w:spacing w:line="360" w:lineRule="auto"/>
        <w:jc w:val="center"/>
        <w:rPr>
          <w:rFonts w:ascii="Cambria" w:cs="Cambria" w:hAnsi="Cambria" w:eastAsia="Cambria"/>
          <w:b w:val="1"/>
          <w:bCs w:val="1"/>
          <w:sz w:val="22"/>
          <w:szCs w:val="22"/>
          <w:lang w:val="de-DE"/>
        </w:rPr>
      </w:pPr>
      <w:r>
        <w:rPr>
          <w:rFonts w:ascii="Cambria" w:cs="Cambria" w:hAnsi="Cambria" w:eastAsia="Cambria"/>
          <w:b w:val="1"/>
          <w:bCs w:val="1"/>
          <w:sz w:val="22"/>
          <w:szCs w:val="22"/>
          <w:rtl w:val="0"/>
          <w:lang w:val="de-DE"/>
        </w:rPr>
        <w:t>265 HAYWARD AVE, ROCHESTER, NEW YORK</w:t>
      </w:r>
    </w:p>
    <w:p>
      <w:pPr>
        <w:pStyle w:val="Body A"/>
        <w:spacing w:line="360" w:lineRule="auto"/>
        <w:jc w:val="center"/>
        <w:rPr>
          <w:rFonts w:ascii="Cambria" w:cs="Cambria" w:hAnsi="Cambria" w:eastAsia="Cambria"/>
          <w:i w:val="1"/>
          <w:iCs w:val="1"/>
          <w:sz w:val="22"/>
          <w:szCs w:val="22"/>
        </w:rPr>
      </w:pPr>
      <w:r>
        <w:rPr>
          <w:rFonts w:ascii="Cambria" w:cs="Cambria" w:hAnsi="Cambria" w:eastAsia="Cambria"/>
          <w:i w:val="1"/>
          <w:iCs w:val="1"/>
          <w:sz w:val="22"/>
          <w:szCs w:val="22"/>
          <w:rtl w:val="0"/>
          <w:lang w:val="en-US"/>
        </w:rPr>
        <w:t>Warehouse is poised to be converted into self-storage property</w:t>
      </w:r>
    </w:p>
    <w:p>
      <w:pPr>
        <w:pStyle w:val="Body A"/>
        <w:spacing w:line="360" w:lineRule="auto"/>
        <w:jc w:val="center"/>
        <w:rPr>
          <w:rFonts w:ascii="Cambria" w:cs="Cambria" w:hAnsi="Cambria" w:eastAsia="Cambria"/>
          <w:sz w:val="22"/>
          <w:szCs w:val="22"/>
        </w:rPr>
      </w:pPr>
    </w:p>
    <w:p>
      <w:pPr>
        <w:pStyle w:val="Body A"/>
        <w:spacing w:line="360" w:lineRule="auto"/>
        <w:rPr>
          <w:rFonts w:ascii="Cambria" w:cs="Cambria" w:hAnsi="Cambria" w:eastAsia="Cambria"/>
          <w:sz w:val="22"/>
          <w:szCs w:val="22"/>
        </w:rPr>
      </w:pPr>
      <w:r>
        <w:rPr>
          <w:rFonts w:ascii="Cambria" w:cs="Cambria" w:hAnsi="Cambria" w:eastAsia="Cambria"/>
          <w:b w:val="1"/>
          <w:bCs w:val="1"/>
          <w:sz w:val="22"/>
          <w:szCs w:val="22"/>
          <w:rtl w:val="0"/>
          <w:lang w:val="it-IT"/>
        </w:rPr>
        <w:t>WASHINGTON, D.C.</w:t>
      </w:r>
      <w:r>
        <w:rPr>
          <w:rFonts w:ascii="Cambria" w:cs="Cambria" w:hAnsi="Cambria" w:eastAsia="Cambria"/>
          <w:sz w:val="22"/>
          <w:szCs w:val="22"/>
          <w:rtl w:val="0"/>
          <w:lang w:val="en-US"/>
        </w:rPr>
        <w:t xml:space="preserve"> - Vertical Fields Capital LLC and Macritchie Storage LLC  announced today that they, through an affiliate, acquired 265 Hayward Avenue in Rochester, New York, to convert the warehouse property into a self storage facility. The approximate 63,800 gross square foot property will be managed by Storage Asset Management and branded as Rochester Self Storage (www.rochesternyselfstorage.com).</w:t>
      </w:r>
    </w:p>
    <w:p>
      <w:pPr>
        <w:pStyle w:val="Body A"/>
        <w:spacing w:line="360" w:lineRule="auto"/>
        <w:rPr>
          <w:rFonts w:ascii="Cambria" w:cs="Cambria" w:hAnsi="Cambria" w:eastAsia="Cambria"/>
          <w:sz w:val="22"/>
          <w:szCs w:val="22"/>
        </w:rPr>
      </w:pPr>
    </w:p>
    <w:p>
      <w:pPr>
        <w:pStyle w:val="Body A"/>
        <w:spacing w:line="360" w:lineRule="auto"/>
        <w:rPr>
          <w:rFonts w:ascii="Cambria" w:cs="Cambria" w:hAnsi="Cambria" w:eastAsia="Cambria"/>
          <w:sz w:val="22"/>
          <w:szCs w:val="22"/>
        </w:rPr>
      </w:pPr>
      <w:r>
        <w:rPr>
          <w:rFonts w:ascii="Cambria" w:cs="Cambria" w:hAnsi="Cambria" w:eastAsia="Cambria"/>
          <w:sz w:val="22"/>
          <w:szCs w:val="22"/>
          <w:rtl w:val="0"/>
          <w:lang w:val="de-DE"/>
        </w:rPr>
        <w:t>“</w:t>
      </w:r>
      <w:r>
        <w:rPr>
          <w:rFonts w:ascii="Cambria" w:cs="Cambria" w:hAnsi="Cambria" w:eastAsia="Cambria"/>
          <w:sz w:val="22"/>
          <w:szCs w:val="22"/>
          <w:rtl w:val="0"/>
          <w:lang w:val="en-US"/>
        </w:rPr>
        <w:t>Vertical Fields Capital LLC is excited to add the 265 Hayward Ave, Rochester</w:t>
      </w:r>
      <w:r>
        <w:rPr>
          <w:rFonts w:ascii="Cambria" w:cs="Cambria" w:hAnsi="Cambria" w:eastAsia="Cambria"/>
          <w:sz w:val="22"/>
          <w:szCs w:val="22"/>
          <w:rtl w:val="0"/>
          <w:lang w:val="en-US"/>
        </w:rPr>
        <w:t>,</w:t>
      </w:r>
      <w:r>
        <w:rPr>
          <w:rFonts w:ascii="Cambria" w:cs="Cambria" w:hAnsi="Cambria" w:eastAsia="Cambria"/>
          <w:sz w:val="22"/>
          <w:szCs w:val="22"/>
          <w:rtl w:val="0"/>
          <w:lang w:val="en-US"/>
        </w:rPr>
        <w:t xml:space="preserve"> property to our portfolio,</w:t>
      </w:r>
      <w:r>
        <w:rPr>
          <w:rFonts w:ascii="Cambria" w:cs="Cambria" w:hAnsi="Cambria" w:eastAsia="Cambria"/>
          <w:sz w:val="22"/>
          <w:szCs w:val="22"/>
          <w:rtl w:val="0"/>
          <w:lang w:val="en-US"/>
        </w:rPr>
        <w:t xml:space="preserve">” </w:t>
      </w:r>
      <w:r>
        <w:rPr>
          <w:rFonts w:ascii="Cambria" w:cs="Cambria" w:hAnsi="Cambria" w:eastAsia="Cambria"/>
          <w:sz w:val="22"/>
          <w:szCs w:val="22"/>
          <w:rtl w:val="0"/>
          <w:lang w:val="en-US"/>
        </w:rPr>
        <w:t xml:space="preserve">said Frederick McCarthy, Founder and Managing Member at Vertical Fields Capital. </w:t>
      </w:r>
      <w:r>
        <w:rPr>
          <w:rFonts w:ascii="Cambria" w:cs="Cambria" w:hAnsi="Cambria" w:eastAsia="Cambria"/>
          <w:sz w:val="22"/>
          <w:szCs w:val="22"/>
          <w:rtl w:val="0"/>
          <w:lang w:val="en-US"/>
        </w:rPr>
        <w:t>“</w:t>
      </w:r>
      <w:r>
        <w:rPr>
          <w:rFonts w:ascii="Cambria" w:cs="Cambria" w:hAnsi="Cambria" w:eastAsia="Cambria"/>
          <w:sz w:val="22"/>
          <w:szCs w:val="22"/>
          <w:rtl w:val="0"/>
          <w:lang w:val="en-US"/>
        </w:rPr>
        <w:t>This acquisition allows us to reposition and improve an underutilized building, add self storage capacity to meet the increasing demand in the City of Rochester and create additional jobs for its residents.</w:t>
      </w:r>
      <w:r>
        <w:rPr>
          <w:rFonts w:ascii="Cambria" w:cs="Cambria" w:hAnsi="Cambria" w:eastAsia="Cambria"/>
          <w:sz w:val="22"/>
          <w:szCs w:val="22"/>
          <w:rtl w:val="0"/>
          <w:lang w:val="en-US"/>
        </w:rPr>
        <w:t xml:space="preserve">” </w:t>
      </w:r>
    </w:p>
    <w:p>
      <w:pPr>
        <w:pStyle w:val="Body A"/>
        <w:spacing w:line="360" w:lineRule="auto"/>
        <w:rPr>
          <w:rFonts w:ascii="Cambria" w:cs="Cambria" w:hAnsi="Cambria" w:eastAsia="Cambria"/>
          <w:sz w:val="22"/>
          <w:szCs w:val="22"/>
        </w:rPr>
      </w:pPr>
    </w:p>
    <w:p>
      <w:pPr>
        <w:pStyle w:val="Body A"/>
        <w:spacing w:line="360" w:lineRule="auto"/>
        <w:rPr>
          <w:rFonts w:ascii="Cambria" w:cs="Cambria" w:hAnsi="Cambria" w:eastAsia="Cambria"/>
          <w:sz w:val="22"/>
          <w:szCs w:val="22"/>
        </w:rPr>
      </w:pPr>
      <w:r>
        <w:rPr>
          <w:rFonts w:ascii="Cambria" w:cs="Cambria" w:hAnsi="Cambria" w:eastAsia="Cambria"/>
          <w:sz w:val="22"/>
          <w:szCs w:val="22"/>
          <w:rtl w:val="0"/>
          <w:lang w:val="en-US"/>
        </w:rPr>
        <w:t xml:space="preserve">The Rochester market is attractive to the self storage industry because of its stable population, diverse economy and under-supply of self storage capacity per population.  </w:t>
      </w:r>
    </w:p>
    <w:p>
      <w:pPr>
        <w:pStyle w:val="Body A"/>
        <w:spacing w:line="360" w:lineRule="auto"/>
        <w:rPr>
          <w:rFonts w:ascii="Cambria" w:cs="Cambria" w:hAnsi="Cambria" w:eastAsia="Cambria"/>
          <w:sz w:val="22"/>
          <w:szCs w:val="22"/>
        </w:rPr>
      </w:pPr>
    </w:p>
    <w:p>
      <w:pPr>
        <w:pStyle w:val="Body A"/>
        <w:spacing w:line="360" w:lineRule="auto"/>
        <w:rPr>
          <w:rFonts w:ascii="Cambria" w:cs="Cambria" w:hAnsi="Cambria" w:eastAsia="Cambria"/>
          <w:sz w:val="22"/>
          <w:szCs w:val="22"/>
        </w:rPr>
      </w:pPr>
    </w:p>
    <w:p>
      <w:pPr>
        <w:pStyle w:val="Body A"/>
        <w:spacing w:line="360" w:lineRule="auto"/>
        <w:rPr>
          <w:rFonts w:ascii="Cambria" w:cs="Cambria" w:hAnsi="Cambria" w:eastAsia="Cambria"/>
          <w:b w:val="1"/>
          <w:bCs w:val="1"/>
          <w:sz w:val="22"/>
          <w:szCs w:val="22"/>
        </w:rPr>
      </w:pPr>
      <w:r>
        <w:rPr>
          <w:rFonts w:ascii="Cambria" w:cs="Cambria" w:hAnsi="Cambria" w:eastAsia="Cambria"/>
          <w:b w:val="1"/>
          <w:bCs w:val="1"/>
          <w:sz w:val="22"/>
          <w:szCs w:val="22"/>
          <w:rtl w:val="0"/>
          <w:lang w:val="en-US"/>
        </w:rPr>
        <w:t>About Vertical Fields Capital LLC</w:t>
      </w:r>
    </w:p>
    <w:p>
      <w:pPr>
        <w:pStyle w:val="Body A"/>
        <w:spacing w:line="360" w:lineRule="auto"/>
      </w:pPr>
      <w:r>
        <w:rPr>
          <w:rFonts w:ascii="Cambria" w:cs="Cambria" w:hAnsi="Cambria" w:eastAsia="Cambria"/>
          <w:sz w:val="22"/>
          <w:szCs w:val="22"/>
          <w:rtl w:val="0"/>
          <w:lang w:val="en-US"/>
        </w:rPr>
        <w:t>Vertical Fields Capital LLC , a Washington, D.C.-based real estate development and investment firm, is focused on acquiring, repositioning and operating self-storage facilities in dense and growing in-fill locations in the top MSAs of the United States.</w:t>
      </w:r>
    </w:p>
    <w:p>
      <w:pPr>
        <w:pStyle w:val="Body A"/>
        <w:spacing w:line="360" w:lineRule="auto"/>
        <w:ind w:left="2160" w:firstLine="720"/>
      </w:pPr>
      <w:r>
        <w:rPr>
          <w:rFonts w:ascii="Arial" w:hAnsi="Arial"/>
          <w:sz w:val="22"/>
          <w:szCs w:val="22"/>
          <w:rtl w:val="0"/>
          <w:lang w:val="en-US"/>
        </w:rPr>
        <w:t>###</w:t>
      </w:r>
    </w:p>
    <w:sectPr>
      <w:headerReference w:type="default" r:id="rId5"/>
      <w:footerReference w:type="default" r:id="rId6"/>
      <w:pgSz w:w="12240" w:h="15840" w:orient="portrait"/>
      <w:pgMar w:top="1440" w:right="207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