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6F2D4" w14:textId="163EE75F" w:rsidR="004B713A" w:rsidRPr="000F152E" w:rsidRDefault="00407DAB" w:rsidP="00AD3450">
      <w:pPr>
        <w:pStyle w:val="Heading1"/>
        <w:spacing w:line="240" w:lineRule="auto"/>
        <w:jc w:val="both"/>
      </w:pPr>
      <w:r>
        <w:rPr>
          <w:noProof/>
        </w:rPr>
        <mc:AlternateContent>
          <mc:Choice Requires="wps">
            <w:drawing>
              <wp:anchor distT="0" distB="0" distL="114300" distR="114300" simplePos="0" relativeHeight="251660288" behindDoc="0" locked="0" layoutInCell="1" allowOverlap="1" wp14:anchorId="55312E32" wp14:editId="3F721290">
                <wp:simplePos x="0" y="0"/>
                <wp:positionH relativeFrom="column">
                  <wp:posOffset>664210</wp:posOffset>
                </wp:positionH>
                <wp:positionV relativeFrom="paragraph">
                  <wp:posOffset>-394970</wp:posOffset>
                </wp:positionV>
                <wp:extent cx="3666490" cy="429260"/>
                <wp:effectExtent l="6985" t="5080" r="12700" b="133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6490" cy="42926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14:paraId="36C01E3B" w14:textId="77777777" w:rsidR="00C06981" w:rsidRPr="009E38C3" w:rsidRDefault="00C06981" w:rsidP="00C06981">
                            <w:pPr>
                              <w:rPr>
                                <w:b/>
                                <w:sz w:val="28"/>
                              </w:rPr>
                            </w:pPr>
                            <w:r w:rsidRPr="009E38C3">
                              <w:rPr>
                                <w:b/>
                                <w:sz w:val="28"/>
                              </w:rPr>
                              <w:t>South Texas Securities Co.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312E32" id="_x0000_t202" coordsize="21600,21600" o:spt="202" path="m,l,21600r21600,l21600,xe">
                <v:stroke joinstyle="miter"/>
                <v:path gradientshapeok="t" o:connecttype="rect"/>
              </v:shapetype>
              <v:shape id="Text Box 2" o:spid="_x0000_s1026" type="#_x0000_t202" style="position:absolute;left:0;text-align:left;margin-left:52.3pt;margin-top:-31.1pt;width:288.7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" fillcolor="white [3212]" strokecolor="white [3212]">
                <v:textbox>
                  <w:txbxContent>
                    <w:p w14:paraId="36C01E3B" w14:textId="77777777" w:rsidR="00C06981" w:rsidRPr="009E38C3" w:rsidRDefault="00C06981" w:rsidP="00C06981">
                      <w:pPr>
                        <w:rPr>
                          <w:b/>
                          <w:sz w:val="28"/>
                        </w:rPr>
                      </w:pPr>
                      <w:r w:rsidRPr="009E38C3">
                        <w:rPr>
                          <w:b/>
                          <w:sz w:val="28"/>
                        </w:rPr>
                        <w:t>South Texas Securities Co.</w:t>
                      </w:r>
                    </w:p>
                  </w:txbxContent>
                </v:textbox>
              </v:shape>
            </w:pict>
          </mc:Fallback>
        </mc:AlternateContent>
      </w:r>
      <w:r w:rsidR="00C06981">
        <w:rPr>
          <w:noProof/>
        </w:rPr>
        <w:drawing>
          <wp:anchor distT="0" distB="0" distL="114300" distR="114300" simplePos="0" relativeHeight="251661312" behindDoc="0" locked="0" layoutInCell="1" allowOverlap="1" wp14:anchorId="5AC62168" wp14:editId="7DFC8C89">
            <wp:simplePos x="0" y="0"/>
            <wp:positionH relativeFrom="column">
              <wp:posOffset>-15875</wp:posOffset>
            </wp:positionH>
            <wp:positionV relativeFrom="paragraph">
              <wp:posOffset>-664845</wp:posOffset>
            </wp:positionV>
            <wp:extent cx="730885" cy="828040"/>
            <wp:effectExtent l="19050" t="0" r="0" b="0"/>
            <wp:wrapNone/>
            <wp:docPr id="1" name="Picture 25" descr="PNG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NG_LOGO.png"/>
                    <pic:cNvPicPr/>
                  </pic:nvPicPr>
                  <pic:blipFill>
                    <a:blip r:embed="rId7" cstate="print"/>
                    <a:stretch>
                      <a:fillRect/>
                    </a:stretch>
                  </pic:blipFill>
                  <pic:spPr>
                    <a:xfrm>
                      <a:off x="0" y="0"/>
                      <a:ext cx="730885" cy="828040"/>
                    </a:xfrm>
                    <a:prstGeom prst="rect">
                      <a:avLst/>
                    </a:prstGeom>
                  </pic:spPr>
                </pic:pic>
              </a:graphicData>
            </a:graphic>
          </wp:anchor>
        </w:drawing>
      </w:r>
      <w:r w:rsidR="000F152E" w:rsidRPr="000F152E">
        <w:t>South Texas Securities Co. is launching a new website providing</w:t>
      </w:r>
      <w:r w:rsidR="00AD3450">
        <w:t xml:space="preserve"> </w:t>
      </w:r>
      <w:r w:rsidR="000F152E" w:rsidRPr="000F152E">
        <w:t>enhanced functionality and easier access to the resources of the company.</w:t>
      </w:r>
    </w:p>
    <w:p w14:paraId="7D9E6FFA" w14:textId="77777777" w:rsidR="00AA516B" w:rsidRDefault="00AA516B" w:rsidP="00F822BC">
      <w:pPr>
        <w:spacing w:line="240" w:lineRule="auto"/>
      </w:pPr>
    </w:p>
    <w:p w14:paraId="423AB62B" w14:textId="77777777" w:rsidR="008A7B9C" w:rsidRPr="00E5065A" w:rsidRDefault="008A7B9C" w:rsidP="00D83684">
      <w:pPr>
        <w:spacing w:line="240" w:lineRule="auto"/>
        <w:jc w:val="both"/>
        <w:rPr>
          <w:rFonts w:cs="Arial"/>
          <w:sz w:val="21"/>
          <w:szCs w:val="21"/>
        </w:rPr>
      </w:pPr>
      <w:r w:rsidRPr="00E5065A">
        <w:rPr>
          <w:rFonts w:cs="Arial"/>
          <w:sz w:val="21"/>
          <w:szCs w:val="21"/>
        </w:rPr>
        <w:t xml:space="preserve">Located in Houston, Texas, </w:t>
      </w:r>
      <w:r w:rsidR="00DC62C5" w:rsidRPr="00E5065A">
        <w:rPr>
          <w:rFonts w:cs="Arial"/>
          <w:sz w:val="21"/>
          <w:szCs w:val="21"/>
        </w:rPr>
        <w:t>United States of America</w:t>
      </w:r>
      <w:r w:rsidRPr="00E5065A">
        <w:rPr>
          <w:rFonts w:cs="Arial"/>
          <w:sz w:val="21"/>
          <w:szCs w:val="21"/>
        </w:rPr>
        <w:t>, South Texas Securities Co. are investor advocates who represent local and international investors who are victims of fraud by the securities brokerage houses or individuals.</w:t>
      </w:r>
    </w:p>
    <w:p w14:paraId="616B5C45" w14:textId="77777777" w:rsidR="00FD6965" w:rsidRPr="00E5065A" w:rsidRDefault="00FD6965" w:rsidP="00D83684">
      <w:pPr>
        <w:jc w:val="both"/>
        <w:rPr>
          <w:rFonts w:cs="Arial"/>
          <w:sz w:val="21"/>
          <w:szCs w:val="21"/>
        </w:rPr>
      </w:pPr>
      <w:r w:rsidRPr="00E5065A">
        <w:rPr>
          <w:rFonts w:cs="Arial"/>
          <w:sz w:val="21"/>
          <w:szCs w:val="21"/>
        </w:rPr>
        <w:t xml:space="preserve">South Texas Securities Co. has recently launched their new website </w:t>
      </w:r>
      <w:hyperlink r:id="rId8" w:history="1">
        <w:r w:rsidR="00DC2CCF" w:rsidRPr="00713237">
          <w:rPr>
            <w:rStyle w:val="Hyperlink"/>
            <w:rFonts w:cs="Arial"/>
            <w:b/>
            <w:i/>
            <w:color w:val="auto"/>
            <w:sz w:val="21"/>
            <w:szCs w:val="21"/>
          </w:rPr>
          <w:t>www.southtexassecuritiesco.com</w:t>
        </w:r>
      </w:hyperlink>
      <w:r w:rsidR="00DC2CCF">
        <w:t xml:space="preserve"> </w:t>
      </w:r>
      <w:r w:rsidRPr="00E5065A">
        <w:rPr>
          <w:rFonts w:cs="Arial"/>
          <w:sz w:val="21"/>
          <w:szCs w:val="21"/>
        </w:rPr>
        <w:t>with a completely new look</w:t>
      </w:r>
      <w:r w:rsidR="00A22B47" w:rsidRPr="00E5065A">
        <w:rPr>
          <w:rFonts w:cs="Arial"/>
          <w:sz w:val="21"/>
          <w:szCs w:val="21"/>
        </w:rPr>
        <w:t>. T</w:t>
      </w:r>
      <w:r w:rsidRPr="00E5065A">
        <w:rPr>
          <w:rFonts w:cs="Arial"/>
          <w:sz w:val="21"/>
          <w:szCs w:val="21"/>
        </w:rPr>
        <w:t>he design provides the users</w:t>
      </w:r>
      <w:r w:rsidR="00B40E8F" w:rsidRPr="00E5065A">
        <w:rPr>
          <w:rFonts w:cs="Arial"/>
          <w:sz w:val="21"/>
          <w:szCs w:val="21"/>
        </w:rPr>
        <w:t xml:space="preserve"> with</w:t>
      </w:r>
      <w:r w:rsidR="00A22B47" w:rsidRPr="00E5065A">
        <w:rPr>
          <w:rFonts w:cs="Arial"/>
          <w:sz w:val="21"/>
          <w:szCs w:val="21"/>
        </w:rPr>
        <w:t xml:space="preserve"> </w:t>
      </w:r>
      <w:r w:rsidR="00B40E8F" w:rsidRPr="00E5065A">
        <w:rPr>
          <w:rFonts w:cs="Arial"/>
          <w:sz w:val="21"/>
          <w:szCs w:val="21"/>
        </w:rPr>
        <w:t xml:space="preserve">content in a </w:t>
      </w:r>
      <w:r w:rsidR="00435FC6" w:rsidRPr="00E5065A">
        <w:rPr>
          <w:rFonts w:cs="Arial"/>
          <w:sz w:val="21"/>
          <w:szCs w:val="21"/>
        </w:rPr>
        <w:t xml:space="preserve">faster and easier </w:t>
      </w:r>
      <w:r w:rsidR="00B40E8F" w:rsidRPr="00E5065A">
        <w:rPr>
          <w:rFonts w:cs="Arial"/>
          <w:sz w:val="21"/>
          <w:szCs w:val="21"/>
        </w:rPr>
        <w:t xml:space="preserve">way </w:t>
      </w:r>
      <w:r w:rsidR="00435FC6" w:rsidRPr="00E5065A">
        <w:rPr>
          <w:rFonts w:cs="Arial"/>
          <w:sz w:val="21"/>
          <w:szCs w:val="21"/>
        </w:rPr>
        <w:t xml:space="preserve">with </w:t>
      </w:r>
      <w:r w:rsidRPr="00E5065A">
        <w:rPr>
          <w:rFonts w:cs="Arial"/>
          <w:sz w:val="21"/>
          <w:szCs w:val="21"/>
        </w:rPr>
        <w:t>a friendly interface and interactive menus</w:t>
      </w:r>
      <w:r w:rsidR="00A22B47" w:rsidRPr="00E5065A">
        <w:rPr>
          <w:rFonts w:cs="Arial"/>
          <w:sz w:val="21"/>
          <w:szCs w:val="21"/>
        </w:rPr>
        <w:t>.</w:t>
      </w:r>
    </w:p>
    <w:p w14:paraId="6EBFBC4C" w14:textId="77777777" w:rsidR="007A2BEB" w:rsidRPr="00E5065A" w:rsidRDefault="003576F7" w:rsidP="001779A1">
      <w:pPr>
        <w:jc w:val="both"/>
        <w:rPr>
          <w:rFonts w:cs="Arial"/>
          <w:sz w:val="21"/>
          <w:szCs w:val="21"/>
        </w:rPr>
      </w:pPr>
      <w:bookmarkStart w:id="0" w:name="_GoBack"/>
      <w:r>
        <w:rPr>
          <w:rFonts w:cs="Arial"/>
          <w:noProof/>
          <w:sz w:val="21"/>
          <w:szCs w:val="21"/>
        </w:rPr>
        <w:drawing>
          <wp:anchor distT="0" distB="0" distL="114300" distR="114300" simplePos="0" relativeHeight="251662336" behindDoc="1" locked="0" layoutInCell="1" allowOverlap="1" wp14:anchorId="5CA86A57" wp14:editId="44046E23">
            <wp:simplePos x="0" y="0"/>
            <wp:positionH relativeFrom="column">
              <wp:posOffset>2606675</wp:posOffset>
            </wp:positionH>
            <wp:positionV relativeFrom="paragraph">
              <wp:posOffset>38735</wp:posOffset>
            </wp:positionV>
            <wp:extent cx="3284855" cy="2656840"/>
            <wp:effectExtent l="19050" t="0" r="0" b="0"/>
            <wp:wrapTight wrapText="bothSides">
              <wp:wrapPolygon edited="0">
                <wp:start x="-125" y="0"/>
                <wp:lineTo x="-125" y="21373"/>
                <wp:lineTo x="21546" y="21373"/>
                <wp:lineTo x="21546" y="0"/>
                <wp:lineTo x="-125" y="0"/>
              </wp:wrapPolygon>
            </wp:wrapTight>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3284855" cy="2656840"/>
                    </a:xfrm>
                    <a:prstGeom prst="rect">
                      <a:avLst/>
                    </a:prstGeom>
                    <a:noFill/>
                    <a:ln w="9525">
                      <a:noFill/>
                      <a:miter lim="800000"/>
                      <a:headEnd/>
                      <a:tailEnd/>
                    </a:ln>
                  </pic:spPr>
                </pic:pic>
              </a:graphicData>
            </a:graphic>
          </wp:anchor>
        </w:drawing>
      </w:r>
      <w:bookmarkEnd w:id="0"/>
      <w:r w:rsidR="00F940BB" w:rsidRPr="00E5065A">
        <w:rPr>
          <w:rFonts w:cs="Arial"/>
          <w:sz w:val="21"/>
          <w:szCs w:val="21"/>
        </w:rPr>
        <w:t xml:space="preserve">South Texas Securities Co. </w:t>
      </w:r>
      <w:r w:rsidR="003A672C" w:rsidRPr="00E5065A">
        <w:rPr>
          <w:rFonts w:cs="Arial"/>
          <w:sz w:val="21"/>
          <w:szCs w:val="21"/>
        </w:rPr>
        <w:t xml:space="preserve">was </w:t>
      </w:r>
      <w:r w:rsidR="00F940BB" w:rsidRPr="00E5065A">
        <w:rPr>
          <w:rFonts w:cs="Arial"/>
          <w:sz w:val="21"/>
          <w:szCs w:val="21"/>
        </w:rPr>
        <w:t>established in the year 1969</w:t>
      </w:r>
      <w:r w:rsidR="00022C59" w:rsidRPr="00E5065A">
        <w:rPr>
          <w:rFonts w:cs="Arial"/>
          <w:sz w:val="21"/>
          <w:szCs w:val="21"/>
        </w:rPr>
        <w:t xml:space="preserve"> under the name Data Advisers Incorporated</w:t>
      </w:r>
      <w:r w:rsidR="003A672C" w:rsidRPr="00E5065A">
        <w:rPr>
          <w:rFonts w:cs="Arial"/>
          <w:sz w:val="21"/>
          <w:szCs w:val="21"/>
        </w:rPr>
        <w:t>.</w:t>
      </w:r>
      <w:r w:rsidR="00F940BB" w:rsidRPr="00E5065A">
        <w:rPr>
          <w:rFonts w:cs="Arial"/>
          <w:sz w:val="21"/>
          <w:szCs w:val="21"/>
        </w:rPr>
        <w:t xml:space="preserve"> </w:t>
      </w:r>
      <w:r w:rsidR="00A13FBC" w:rsidRPr="00E5065A">
        <w:rPr>
          <w:rFonts w:cs="Arial"/>
          <w:sz w:val="21"/>
          <w:szCs w:val="21"/>
        </w:rPr>
        <w:t>The company has a rich experience of 50 years in the securities industry and is one of the market leaders.</w:t>
      </w:r>
      <w:r w:rsidR="007A2BEB" w:rsidRPr="00E5065A">
        <w:rPr>
          <w:rFonts w:cs="Arial"/>
          <w:sz w:val="21"/>
          <w:szCs w:val="21"/>
        </w:rPr>
        <w:t xml:space="preserve"> Headed by Mr. </w:t>
      </w:r>
      <w:r w:rsidR="00D5029C" w:rsidRPr="00E5065A">
        <w:rPr>
          <w:rFonts w:cs="Arial"/>
          <w:sz w:val="21"/>
          <w:szCs w:val="21"/>
        </w:rPr>
        <w:t xml:space="preserve">Frank E. </w:t>
      </w:r>
      <w:r w:rsidR="007A2BEB" w:rsidRPr="00E5065A">
        <w:rPr>
          <w:rFonts w:cs="Arial"/>
          <w:sz w:val="21"/>
          <w:szCs w:val="21"/>
        </w:rPr>
        <w:t>Hartung for over 50 years, we feel his insight and expertise in the industry can help investors identify potentially harmful agents and brokerages.</w:t>
      </w:r>
      <w:r w:rsidR="008A7B9C" w:rsidRPr="00E5065A">
        <w:rPr>
          <w:rFonts w:cs="Arial"/>
          <w:sz w:val="21"/>
          <w:szCs w:val="21"/>
        </w:rPr>
        <w:t xml:space="preserve"> South Texas Securities Co. is a member of the Financial Industry Regulatory Authority (FINRA) and Securities Investor </w:t>
      </w:r>
      <w:r w:rsidR="00BB4E7C" w:rsidRPr="00E5065A">
        <w:rPr>
          <w:rFonts w:cs="Arial"/>
          <w:sz w:val="21"/>
          <w:szCs w:val="21"/>
        </w:rPr>
        <w:t>Protection Corporation (SIPC). </w:t>
      </w:r>
    </w:p>
    <w:p w14:paraId="4CA7ABC4" w14:textId="77777777" w:rsidR="007A2BEB" w:rsidRPr="00E5065A" w:rsidRDefault="008C5DF7" w:rsidP="00CF4988">
      <w:pPr>
        <w:jc w:val="both"/>
        <w:rPr>
          <w:rFonts w:cs="Arial"/>
          <w:sz w:val="21"/>
          <w:szCs w:val="21"/>
        </w:rPr>
      </w:pPr>
      <w:r w:rsidRPr="00E5065A">
        <w:rPr>
          <w:rFonts w:cs="Arial"/>
          <w:sz w:val="21"/>
          <w:szCs w:val="21"/>
        </w:rPr>
        <w:t>South Texas Securities Co. is a corporate and commercial litigation boutique ensuring</w:t>
      </w:r>
      <w:r w:rsidR="00D41345" w:rsidRPr="00E5065A">
        <w:rPr>
          <w:rFonts w:cs="Arial"/>
          <w:sz w:val="21"/>
          <w:szCs w:val="21"/>
        </w:rPr>
        <w:t xml:space="preserve"> their clients get the best of the be</w:t>
      </w:r>
      <w:r w:rsidR="00DB64B0" w:rsidRPr="00E5065A">
        <w:rPr>
          <w:rFonts w:cs="Arial"/>
          <w:sz w:val="21"/>
          <w:szCs w:val="21"/>
        </w:rPr>
        <w:t>st lega</w:t>
      </w:r>
      <w:r w:rsidR="00CF115B" w:rsidRPr="00E5065A">
        <w:rPr>
          <w:rFonts w:cs="Arial"/>
          <w:sz w:val="21"/>
          <w:szCs w:val="21"/>
        </w:rPr>
        <w:t xml:space="preserve">l solutions they deserve with </w:t>
      </w:r>
      <w:r w:rsidR="00DB64B0" w:rsidRPr="00E5065A">
        <w:rPr>
          <w:rFonts w:cs="Arial"/>
          <w:sz w:val="21"/>
          <w:szCs w:val="21"/>
        </w:rPr>
        <w:t>strong expertise and experience in legal jurisdictions across the globe.</w:t>
      </w:r>
      <w:r w:rsidR="00BE7402" w:rsidRPr="00E5065A">
        <w:rPr>
          <w:rFonts w:cs="Arial"/>
          <w:sz w:val="21"/>
          <w:szCs w:val="21"/>
        </w:rPr>
        <w:t xml:space="preserve"> Their success rate speaks for itself.</w:t>
      </w:r>
      <w:r w:rsidR="002F40F0" w:rsidRPr="00E5065A">
        <w:rPr>
          <w:rFonts w:cs="Arial"/>
          <w:sz w:val="21"/>
          <w:szCs w:val="21"/>
        </w:rPr>
        <w:t xml:space="preserve"> Their victories across the U.S. local courts and other international courts are a hallmark of </w:t>
      </w:r>
      <w:r w:rsidR="00905852" w:rsidRPr="00E5065A">
        <w:rPr>
          <w:rFonts w:cs="Arial"/>
          <w:sz w:val="21"/>
          <w:szCs w:val="21"/>
        </w:rPr>
        <w:t>their</w:t>
      </w:r>
      <w:r w:rsidR="002F40F0" w:rsidRPr="00E5065A">
        <w:rPr>
          <w:rFonts w:cs="Arial"/>
          <w:sz w:val="21"/>
          <w:szCs w:val="21"/>
        </w:rPr>
        <w:t xml:space="preserve"> hard work and expertise in the laws of the land.</w:t>
      </w:r>
      <w:r w:rsidR="007A2BEB" w:rsidRPr="00E5065A">
        <w:rPr>
          <w:rFonts w:cs="Arial"/>
          <w:sz w:val="21"/>
          <w:szCs w:val="21"/>
        </w:rPr>
        <w:t xml:space="preserve"> </w:t>
      </w:r>
    </w:p>
    <w:p w14:paraId="5775574B" w14:textId="77777777" w:rsidR="00453916" w:rsidRPr="00E5065A" w:rsidRDefault="00453916" w:rsidP="00CF4988">
      <w:pPr>
        <w:jc w:val="both"/>
        <w:rPr>
          <w:rFonts w:cs="Arial"/>
          <w:sz w:val="21"/>
          <w:szCs w:val="21"/>
        </w:rPr>
      </w:pPr>
      <w:r w:rsidRPr="00E5065A">
        <w:rPr>
          <w:rFonts w:cs="Arial"/>
          <w:sz w:val="21"/>
          <w:szCs w:val="21"/>
        </w:rPr>
        <w:t>The main attributes to their success include but not limited to:</w:t>
      </w:r>
    </w:p>
    <w:p w14:paraId="4BA2B0F6" w14:textId="77777777" w:rsidR="00453916" w:rsidRPr="00E5065A" w:rsidRDefault="00453916" w:rsidP="00453916">
      <w:pPr>
        <w:pStyle w:val="ListParagraph"/>
        <w:numPr>
          <w:ilvl w:val="0"/>
          <w:numId w:val="1"/>
        </w:numPr>
        <w:rPr>
          <w:rFonts w:cs="Arial"/>
          <w:sz w:val="21"/>
          <w:szCs w:val="21"/>
        </w:rPr>
      </w:pPr>
      <w:r w:rsidRPr="00E5065A">
        <w:rPr>
          <w:rFonts w:cs="Arial"/>
          <w:sz w:val="21"/>
          <w:szCs w:val="21"/>
        </w:rPr>
        <w:t>Strong physical presence across most of the countries in the world</w:t>
      </w:r>
    </w:p>
    <w:p w14:paraId="3B6BA99B" w14:textId="77777777" w:rsidR="00453916" w:rsidRPr="00E5065A" w:rsidRDefault="00DB27E4" w:rsidP="00453916">
      <w:pPr>
        <w:pStyle w:val="ListParagraph"/>
        <w:numPr>
          <w:ilvl w:val="0"/>
          <w:numId w:val="1"/>
        </w:numPr>
        <w:rPr>
          <w:rFonts w:cs="Arial"/>
          <w:sz w:val="21"/>
          <w:szCs w:val="21"/>
        </w:rPr>
      </w:pPr>
      <w:r w:rsidRPr="00E5065A">
        <w:rPr>
          <w:rFonts w:cs="Arial"/>
          <w:sz w:val="21"/>
          <w:szCs w:val="21"/>
        </w:rPr>
        <w:t>A s</w:t>
      </w:r>
      <w:r w:rsidR="00453916" w:rsidRPr="00E5065A">
        <w:rPr>
          <w:rFonts w:cs="Arial"/>
          <w:sz w:val="21"/>
          <w:szCs w:val="21"/>
        </w:rPr>
        <w:t>trong relationship with local law enforcing agencies across the world</w:t>
      </w:r>
    </w:p>
    <w:p w14:paraId="2C5669CA" w14:textId="77777777" w:rsidR="00A13FBC" w:rsidRPr="00E5065A" w:rsidRDefault="00453916" w:rsidP="00453916">
      <w:pPr>
        <w:pStyle w:val="ListParagraph"/>
        <w:numPr>
          <w:ilvl w:val="0"/>
          <w:numId w:val="1"/>
        </w:numPr>
        <w:rPr>
          <w:rFonts w:cs="Arial"/>
          <w:sz w:val="21"/>
          <w:szCs w:val="21"/>
        </w:rPr>
      </w:pPr>
      <w:r w:rsidRPr="00E5065A">
        <w:rPr>
          <w:rFonts w:cs="Arial"/>
          <w:sz w:val="21"/>
          <w:szCs w:val="21"/>
        </w:rPr>
        <w:t xml:space="preserve">Use of High-end technologies like tracking techniques and surveillance tools </w:t>
      </w:r>
    </w:p>
    <w:p w14:paraId="0A2532FE" w14:textId="77777777" w:rsidR="00453916" w:rsidRPr="00E5065A" w:rsidRDefault="00453916" w:rsidP="00453916">
      <w:pPr>
        <w:pStyle w:val="ListParagraph"/>
        <w:numPr>
          <w:ilvl w:val="0"/>
          <w:numId w:val="1"/>
        </w:numPr>
        <w:rPr>
          <w:rFonts w:cs="Arial"/>
          <w:sz w:val="21"/>
          <w:szCs w:val="21"/>
        </w:rPr>
      </w:pPr>
      <w:r w:rsidRPr="00E5065A">
        <w:rPr>
          <w:rFonts w:cs="Arial"/>
          <w:sz w:val="21"/>
          <w:szCs w:val="21"/>
        </w:rPr>
        <w:t>Use of tried and tested investigative systems</w:t>
      </w:r>
    </w:p>
    <w:p w14:paraId="5021EE20" w14:textId="77777777" w:rsidR="00453916" w:rsidRPr="00E5065A" w:rsidRDefault="00E435AC" w:rsidP="00453916">
      <w:pPr>
        <w:pStyle w:val="ListParagraph"/>
        <w:numPr>
          <w:ilvl w:val="0"/>
          <w:numId w:val="1"/>
        </w:numPr>
        <w:rPr>
          <w:rFonts w:cs="Arial"/>
          <w:sz w:val="21"/>
          <w:szCs w:val="21"/>
        </w:rPr>
      </w:pPr>
      <w:r w:rsidRPr="00E5065A">
        <w:rPr>
          <w:rFonts w:cs="Arial"/>
          <w:sz w:val="21"/>
          <w:szCs w:val="21"/>
        </w:rPr>
        <w:t>The s</w:t>
      </w:r>
      <w:r w:rsidR="00453916" w:rsidRPr="00E5065A">
        <w:rPr>
          <w:rFonts w:cs="Arial"/>
          <w:sz w:val="21"/>
          <w:szCs w:val="21"/>
        </w:rPr>
        <w:t>trong team comprising of industry-leading IT experts, analysts, researchers and legal experts who could enable cross-border crime syndicates to be uncovered and dismantled</w:t>
      </w:r>
    </w:p>
    <w:p w14:paraId="40B90FC7" w14:textId="77777777" w:rsidR="004D47CF" w:rsidRPr="00E5065A" w:rsidRDefault="00A859DE" w:rsidP="001C7C33">
      <w:pPr>
        <w:jc w:val="both"/>
        <w:rPr>
          <w:rFonts w:cs="Arial"/>
          <w:sz w:val="21"/>
          <w:szCs w:val="21"/>
        </w:rPr>
      </w:pPr>
      <w:r w:rsidRPr="00E5065A">
        <w:rPr>
          <w:rFonts w:cs="Arial"/>
          <w:sz w:val="21"/>
          <w:szCs w:val="21"/>
        </w:rPr>
        <w:lastRenderedPageBreak/>
        <w:t xml:space="preserve">In recent years </w:t>
      </w:r>
      <w:r w:rsidR="004D47CF" w:rsidRPr="00E5065A">
        <w:rPr>
          <w:rFonts w:cs="Arial"/>
          <w:sz w:val="21"/>
          <w:szCs w:val="21"/>
        </w:rPr>
        <w:t xml:space="preserve">South Texas Securities Co. </w:t>
      </w:r>
      <w:r w:rsidRPr="00E5065A">
        <w:rPr>
          <w:rFonts w:cs="Arial"/>
          <w:sz w:val="21"/>
          <w:szCs w:val="21"/>
        </w:rPr>
        <w:t>has been able to successfully track high profile fraudsters and exposing their modus operandi and thereby revealing the money trail and their assets.</w:t>
      </w:r>
      <w:r w:rsidR="0012558B" w:rsidRPr="00E5065A">
        <w:rPr>
          <w:rFonts w:cs="Arial"/>
          <w:sz w:val="21"/>
          <w:szCs w:val="21"/>
        </w:rPr>
        <w:t xml:space="preserve"> </w:t>
      </w:r>
      <w:r w:rsidR="004D47CF" w:rsidRPr="00E5065A">
        <w:rPr>
          <w:rFonts w:cs="Arial"/>
          <w:sz w:val="21"/>
          <w:szCs w:val="21"/>
        </w:rPr>
        <w:t>South Texas Securities Co.</w:t>
      </w:r>
      <w:r w:rsidR="00B15DA6" w:rsidRPr="00E5065A">
        <w:rPr>
          <w:rFonts w:cs="Arial"/>
          <w:sz w:val="21"/>
          <w:szCs w:val="21"/>
        </w:rPr>
        <w:t xml:space="preserve"> is committed to</w:t>
      </w:r>
      <w:r w:rsidR="004D47CF" w:rsidRPr="00E5065A">
        <w:rPr>
          <w:rFonts w:cs="Arial"/>
          <w:sz w:val="21"/>
          <w:szCs w:val="21"/>
        </w:rPr>
        <w:t xml:space="preserve"> assisting </w:t>
      </w:r>
      <w:r w:rsidR="009B37D5" w:rsidRPr="00E5065A">
        <w:rPr>
          <w:rFonts w:cs="Arial"/>
          <w:sz w:val="21"/>
          <w:szCs w:val="21"/>
        </w:rPr>
        <w:t xml:space="preserve">their clients </w:t>
      </w:r>
      <w:r w:rsidR="001823A6" w:rsidRPr="00E5065A">
        <w:rPr>
          <w:rFonts w:cs="Arial"/>
          <w:sz w:val="21"/>
          <w:szCs w:val="21"/>
        </w:rPr>
        <w:t>in their fraud recovery needs.</w:t>
      </w:r>
      <w:r w:rsidR="00692677" w:rsidRPr="00E5065A">
        <w:rPr>
          <w:rFonts w:cs="Arial"/>
          <w:sz w:val="21"/>
          <w:szCs w:val="21"/>
        </w:rPr>
        <w:t xml:space="preserve"> </w:t>
      </w:r>
    </w:p>
    <w:p w14:paraId="169F0A14" w14:textId="77777777" w:rsidR="00692677" w:rsidRDefault="00692677" w:rsidP="00A859DE">
      <w:pPr>
        <w:rPr>
          <w:rFonts w:cs="Arial"/>
          <w:sz w:val="21"/>
          <w:szCs w:val="21"/>
        </w:rPr>
      </w:pPr>
      <w:r w:rsidRPr="00833B25">
        <w:rPr>
          <w:rFonts w:cs="Arial"/>
          <w:sz w:val="21"/>
          <w:szCs w:val="21"/>
        </w:rPr>
        <w:t>Services offered by South Texas Securities Co. include but not limited to: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6"/>
        <w:gridCol w:w="4674"/>
      </w:tblGrid>
      <w:tr w:rsidR="00F91701" w14:paraId="39DD5E4A" w14:textId="77777777" w:rsidTr="00F91701">
        <w:tc>
          <w:tcPr>
            <w:tcW w:w="4788" w:type="dxa"/>
          </w:tcPr>
          <w:p w14:paraId="6E52715D" w14:textId="77777777" w:rsidR="00F91701" w:rsidRPr="00F91701" w:rsidRDefault="00F91701" w:rsidP="00A859DE">
            <w:pPr>
              <w:pStyle w:val="ListParagraph"/>
              <w:numPr>
                <w:ilvl w:val="0"/>
                <w:numId w:val="2"/>
              </w:numPr>
              <w:rPr>
                <w:rFonts w:cs="Arial"/>
                <w:sz w:val="21"/>
                <w:szCs w:val="21"/>
              </w:rPr>
            </w:pPr>
            <w:r w:rsidRPr="00833B25">
              <w:rPr>
                <w:rFonts w:cs="Arial"/>
                <w:sz w:val="21"/>
                <w:szCs w:val="21"/>
              </w:rPr>
              <w:t>Class Actions</w:t>
            </w:r>
          </w:p>
        </w:tc>
        <w:tc>
          <w:tcPr>
            <w:tcW w:w="4788" w:type="dxa"/>
          </w:tcPr>
          <w:p w14:paraId="6BD3DD4A" w14:textId="77777777" w:rsidR="00F91701" w:rsidRPr="00F91701" w:rsidRDefault="00F91701" w:rsidP="00A859DE">
            <w:pPr>
              <w:pStyle w:val="ListParagraph"/>
              <w:numPr>
                <w:ilvl w:val="0"/>
                <w:numId w:val="2"/>
              </w:numPr>
              <w:rPr>
                <w:rFonts w:cs="Arial"/>
                <w:sz w:val="21"/>
                <w:szCs w:val="21"/>
              </w:rPr>
            </w:pPr>
            <w:r w:rsidRPr="00833B25">
              <w:rPr>
                <w:rFonts w:cs="Arial"/>
                <w:sz w:val="21"/>
                <w:szCs w:val="21"/>
              </w:rPr>
              <w:t>Asset Recovery</w:t>
            </w:r>
          </w:p>
        </w:tc>
      </w:tr>
      <w:tr w:rsidR="00F91701" w14:paraId="43D23134" w14:textId="77777777" w:rsidTr="00F91701">
        <w:tc>
          <w:tcPr>
            <w:tcW w:w="4788" w:type="dxa"/>
          </w:tcPr>
          <w:p w14:paraId="7C7700D7" w14:textId="77777777" w:rsidR="00F91701" w:rsidRPr="00F91701" w:rsidRDefault="00F91701" w:rsidP="00A859DE">
            <w:pPr>
              <w:pStyle w:val="ListParagraph"/>
              <w:numPr>
                <w:ilvl w:val="0"/>
                <w:numId w:val="2"/>
              </w:numPr>
              <w:rPr>
                <w:rFonts w:cs="Arial"/>
                <w:sz w:val="21"/>
                <w:szCs w:val="21"/>
              </w:rPr>
            </w:pPr>
            <w:r w:rsidRPr="00833B25">
              <w:rPr>
                <w:rFonts w:cs="Arial"/>
                <w:sz w:val="21"/>
                <w:szCs w:val="21"/>
              </w:rPr>
              <w:t>Securities Arbitration</w:t>
            </w:r>
          </w:p>
        </w:tc>
        <w:tc>
          <w:tcPr>
            <w:tcW w:w="4788" w:type="dxa"/>
          </w:tcPr>
          <w:p w14:paraId="7C682EA4" w14:textId="77777777" w:rsidR="00F91701" w:rsidRPr="00F91701" w:rsidRDefault="00F91701" w:rsidP="00A859DE">
            <w:pPr>
              <w:pStyle w:val="ListParagraph"/>
              <w:numPr>
                <w:ilvl w:val="0"/>
                <w:numId w:val="2"/>
              </w:numPr>
              <w:rPr>
                <w:rFonts w:cs="Arial"/>
                <w:sz w:val="21"/>
                <w:szCs w:val="21"/>
              </w:rPr>
            </w:pPr>
            <w:r>
              <w:rPr>
                <w:rFonts w:cs="Arial"/>
                <w:sz w:val="21"/>
                <w:szCs w:val="21"/>
              </w:rPr>
              <w:t>Breach of F</w:t>
            </w:r>
            <w:r w:rsidRPr="00833B25">
              <w:rPr>
                <w:rFonts w:cs="Arial"/>
                <w:sz w:val="21"/>
                <w:szCs w:val="21"/>
              </w:rPr>
              <w:t>iduciary</w:t>
            </w:r>
          </w:p>
        </w:tc>
      </w:tr>
      <w:tr w:rsidR="00F91701" w14:paraId="5744940A" w14:textId="77777777" w:rsidTr="00F91701">
        <w:tc>
          <w:tcPr>
            <w:tcW w:w="4788" w:type="dxa"/>
          </w:tcPr>
          <w:p w14:paraId="71B679D2" w14:textId="77777777" w:rsidR="00F91701" w:rsidRPr="00F91701" w:rsidRDefault="00F91701" w:rsidP="00A859DE">
            <w:pPr>
              <w:pStyle w:val="ListParagraph"/>
              <w:numPr>
                <w:ilvl w:val="0"/>
                <w:numId w:val="2"/>
              </w:numPr>
              <w:rPr>
                <w:rFonts w:cs="Arial"/>
                <w:sz w:val="21"/>
                <w:szCs w:val="21"/>
              </w:rPr>
            </w:pPr>
            <w:r w:rsidRPr="00833B25">
              <w:rPr>
                <w:rFonts w:cs="Arial"/>
                <w:sz w:val="21"/>
                <w:szCs w:val="21"/>
              </w:rPr>
              <w:t>Serious and Organized fraud</w:t>
            </w:r>
          </w:p>
        </w:tc>
        <w:tc>
          <w:tcPr>
            <w:tcW w:w="4788" w:type="dxa"/>
          </w:tcPr>
          <w:p w14:paraId="006C56A4" w14:textId="77777777" w:rsidR="00F91701" w:rsidRPr="00F91701" w:rsidRDefault="00F91701" w:rsidP="00A859DE">
            <w:pPr>
              <w:pStyle w:val="ListParagraph"/>
              <w:numPr>
                <w:ilvl w:val="0"/>
                <w:numId w:val="2"/>
              </w:numPr>
              <w:rPr>
                <w:rFonts w:cs="Arial"/>
                <w:sz w:val="21"/>
                <w:szCs w:val="21"/>
              </w:rPr>
            </w:pPr>
            <w:r>
              <w:rPr>
                <w:rFonts w:cs="Arial"/>
                <w:sz w:val="21"/>
                <w:szCs w:val="21"/>
              </w:rPr>
              <w:t>Ponzi S</w:t>
            </w:r>
            <w:r w:rsidRPr="00833B25">
              <w:rPr>
                <w:rFonts w:cs="Arial"/>
                <w:sz w:val="21"/>
                <w:szCs w:val="21"/>
              </w:rPr>
              <w:t>chemes</w:t>
            </w:r>
          </w:p>
        </w:tc>
      </w:tr>
      <w:tr w:rsidR="00F91701" w14:paraId="7A5739C9" w14:textId="77777777" w:rsidTr="00F91701">
        <w:tc>
          <w:tcPr>
            <w:tcW w:w="4788" w:type="dxa"/>
          </w:tcPr>
          <w:p w14:paraId="7CF021E4" w14:textId="77777777" w:rsidR="00F91701" w:rsidRPr="00F91701" w:rsidRDefault="00F91701" w:rsidP="00A859DE">
            <w:pPr>
              <w:pStyle w:val="ListParagraph"/>
              <w:numPr>
                <w:ilvl w:val="0"/>
                <w:numId w:val="2"/>
              </w:numPr>
              <w:rPr>
                <w:rFonts w:cs="Arial"/>
                <w:sz w:val="21"/>
                <w:szCs w:val="21"/>
              </w:rPr>
            </w:pPr>
            <w:r w:rsidRPr="00833B25">
              <w:rPr>
                <w:rFonts w:cs="Arial"/>
                <w:sz w:val="21"/>
                <w:szCs w:val="21"/>
              </w:rPr>
              <w:t>Investigation &amp; Surveillance</w:t>
            </w:r>
          </w:p>
        </w:tc>
        <w:tc>
          <w:tcPr>
            <w:tcW w:w="4788" w:type="dxa"/>
          </w:tcPr>
          <w:p w14:paraId="23512077" w14:textId="77777777" w:rsidR="00F91701" w:rsidRPr="00F91701" w:rsidRDefault="00F91701" w:rsidP="00A859DE">
            <w:pPr>
              <w:pStyle w:val="ListParagraph"/>
              <w:numPr>
                <w:ilvl w:val="0"/>
                <w:numId w:val="2"/>
              </w:numPr>
              <w:rPr>
                <w:rFonts w:cs="Arial"/>
                <w:sz w:val="21"/>
                <w:szCs w:val="21"/>
              </w:rPr>
            </w:pPr>
            <w:r w:rsidRPr="00833B25">
              <w:rPr>
                <w:rFonts w:cs="Arial"/>
                <w:sz w:val="21"/>
                <w:szCs w:val="21"/>
              </w:rPr>
              <w:t>Churning Abuse</w:t>
            </w:r>
          </w:p>
        </w:tc>
      </w:tr>
    </w:tbl>
    <w:p w14:paraId="7F50DBF0" w14:textId="77777777" w:rsidR="00F91701" w:rsidRPr="00833B25" w:rsidRDefault="00F91701" w:rsidP="00A859DE">
      <w:pPr>
        <w:rPr>
          <w:rFonts w:cs="Arial"/>
          <w:sz w:val="21"/>
          <w:szCs w:val="21"/>
        </w:rPr>
      </w:pPr>
    </w:p>
    <w:p w14:paraId="5C127335" w14:textId="77777777" w:rsidR="0063784D" w:rsidRPr="00833B25" w:rsidRDefault="00DB7261" w:rsidP="00A57806">
      <w:pPr>
        <w:jc w:val="both"/>
        <w:rPr>
          <w:rFonts w:cs="Arial"/>
          <w:sz w:val="21"/>
          <w:szCs w:val="21"/>
        </w:rPr>
      </w:pPr>
      <w:r w:rsidRPr="00833B25">
        <w:rPr>
          <w:rFonts w:cs="Arial"/>
          <w:sz w:val="21"/>
          <w:szCs w:val="21"/>
        </w:rPr>
        <w:t xml:space="preserve">South Texas Securities Co. offers the clients to reach them through their telephone number </w:t>
      </w:r>
      <w:r w:rsidRPr="00833B25">
        <w:rPr>
          <w:rFonts w:cs="Arial"/>
          <w:b/>
          <w:sz w:val="21"/>
          <w:szCs w:val="21"/>
        </w:rPr>
        <w:t>+1</w:t>
      </w:r>
      <w:r w:rsidR="00F65A7A" w:rsidRPr="00833B25">
        <w:rPr>
          <w:rFonts w:cs="Arial"/>
          <w:b/>
          <w:sz w:val="21"/>
          <w:szCs w:val="21"/>
        </w:rPr>
        <w:t xml:space="preserve"> </w:t>
      </w:r>
      <w:r w:rsidRPr="00833B25">
        <w:rPr>
          <w:rFonts w:cs="Arial"/>
          <w:b/>
          <w:sz w:val="21"/>
          <w:szCs w:val="21"/>
        </w:rPr>
        <w:t>866-313-6641</w:t>
      </w:r>
      <w:r w:rsidR="0063784D" w:rsidRPr="00833B25">
        <w:rPr>
          <w:rFonts w:cs="Arial"/>
          <w:sz w:val="21"/>
          <w:szCs w:val="21"/>
        </w:rPr>
        <w:t xml:space="preserve"> </w:t>
      </w:r>
      <w:r w:rsidR="00836593" w:rsidRPr="00833B25">
        <w:rPr>
          <w:rFonts w:cs="Arial"/>
          <w:sz w:val="21"/>
          <w:szCs w:val="21"/>
        </w:rPr>
        <w:t xml:space="preserve">or </w:t>
      </w:r>
      <w:r w:rsidR="007C7DE1" w:rsidRPr="00833B25">
        <w:rPr>
          <w:rFonts w:cs="Arial"/>
          <w:sz w:val="21"/>
          <w:szCs w:val="21"/>
        </w:rPr>
        <w:t xml:space="preserve">by </w:t>
      </w:r>
      <w:r w:rsidR="00836593" w:rsidRPr="00833B25">
        <w:rPr>
          <w:rFonts w:cs="Arial"/>
          <w:sz w:val="21"/>
          <w:szCs w:val="21"/>
        </w:rPr>
        <w:t xml:space="preserve">the newly launched website </w:t>
      </w:r>
      <w:hyperlink r:id="rId10" w:history="1">
        <w:r w:rsidR="00836593" w:rsidRPr="00833B25">
          <w:rPr>
            <w:rStyle w:val="Hyperlink"/>
            <w:rFonts w:cs="Arial"/>
            <w:b/>
            <w:color w:val="auto"/>
            <w:sz w:val="21"/>
            <w:szCs w:val="21"/>
          </w:rPr>
          <w:t>www.southtexassecuritiesco.com</w:t>
        </w:r>
      </w:hyperlink>
      <w:r w:rsidR="00836593" w:rsidRPr="00833B25">
        <w:rPr>
          <w:rFonts w:cs="Arial"/>
          <w:sz w:val="21"/>
          <w:szCs w:val="21"/>
        </w:rPr>
        <w:t xml:space="preserve">. </w:t>
      </w:r>
      <w:r w:rsidR="00AC510C" w:rsidRPr="00833B25">
        <w:rPr>
          <w:rFonts w:cs="Arial"/>
          <w:sz w:val="21"/>
          <w:szCs w:val="21"/>
        </w:rPr>
        <w:t xml:space="preserve">Their new website is creative, interactive and gives </w:t>
      </w:r>
      <w:r w:rsidR="000179CF" w:rsidRPr="00833B25">
        <w:rPr>
          <w:rFonts w:cs="Arial"/>
          <w:sz w:val="21"/>
          <w:szCs w:val="21"/>
        </w:rPr>
        <w:t>detailed</w:t>
      </w:r>
      <w:r w:rsidR="00AC510C" w:rsidRPr="00833B25">
        <w:rPr>
          <w:rFonts w:cs="Arial"/>
          <w:sz w:val="21"/>
          <w:szCs w:val="21"/>
        </w:rPr>
        <w:t xml:space="preserve"> information on all the services provided by </w:t>
      </w:r>
      <w:r w:rsidR="00A464FD" w:rsidRPr="00833B25">
        <w:rPr>
          <w:rFonts w:cs="Arial"/>
          <w:sz w:val="21"/>
          <w:szCs w:val="21"/>
        </w:rPr>
        <w:t>the company</w:t>
      </w:r>
      <w:r w:rsidR="00AC510C" w:rsidRPr="00833B25">
        <w:rPr>
          <w:rFonts w:cs="Arial"/>
          <w:sz w:val="21"/>
          <w:szCs w:val="21"/>
        </w:rPr>
        <w:t xml:space="preserve">. </w:t>
      </w:r>
      <w:r w:rsidR="00C94F9C" w:rsidRPr="00833B25">
        <w:rPr>
          <w:rFonts w:cs="Arial"/>
          <w:sz w:val="21"/>
          <w:szCs w:val="21"/>
        </w:rPr>
        <w:t xml:space="preserve">One of the main </w:t>
      </w:r>
      <w:r w:rsidR="0044670B" w:rsidRPr="00833B25">
        <w:rPr>
          <w:rFonts w:cs="Arial"/>
          <w:sz w:val="21"/>
          <w:szCs w:val="21"/>
        </w:rPr>
        <w:t>purposes</w:t>
      </w:r>
      <w:r w:rsidR="00C94F9C" w:rsidRPr="00833B25">
        <w:rPr>
          <w:rFonts w:cs="Arial"/>
          <w:sz w:val="21"/>
          <w:szCs w:val="21"/>
        </w:rPr>
        <w:t xml:space="preserve"> of launching this new website is to facilitate the</w:t>
      </w:r>
      <w:r w:rsidR="000179CF" w:rsidRPr="00833B25">
        <w:rPr>
          <w:rFonts w:cs="Arial"/>
          <w:sz w:val="21"/>
          <w:szCs w:val="21"/>
        </w:rPr>
        <w:t xml:space="preserve"> </w:t>
      </w:r>
      <w:r w:rsidR="0030706E" w:rsidRPr="00833B25">
        <w:rPr>
          <w:rFonts w:cs="Arial"/>
          <w:sz w:val="21"/>
          <w:szCs w:val="21"/>
        </w:rPr>
        <w:t xml:space="preserve">current and prospective clients </w:t>
      </w:r>
      <w:r w:rsidR="000179CF" w:rsidRPr="00833B25">
        <w:rPr>
          <w:rFonts w:cs="Arial"/>
          <w:sz w:val="21"/>
          <w:szCs w:val="21"/>
        </w:rPr>
        <w:t>with</w:t>
      </w:r>
      <w:r w:rsidR="00C94F9C" w:rsidRPr="00833B25">
        <w:rPr>
          <w:rFonts w:cs="Arial"/>
          <w:sz w:val="21"/>
          <w:szCs w:val="21"/>
        </w:rPr>
        <w:t xml:space="preserve"> easy access to the company and its resources.</w:t>
      </w:r>
      <w:r w:rsidR="007C7DE1" w:rsidRPr="00833B25">
        <w:rPr>
          <w:rFonts w:cs="Arial"/>
          <w:sz w:val="21"/>
          <w:szCs w:val="21"/>
        </w:rPr>
        <w:t xml:space="preserve"> </w:t>
      </w:r>
      <w:r w:rsidR="00772260" w:rsidRPr="00833B25">
        <w:rPr>
          <w:rFonts w:cs="Arial"/>
          <w:sz w:val="21"/>
          <w:szCs w:val="21"/>
        </w:rPr>
        <w:t xml:space="preserve">Users can browse through the website to understand the various cases of fraud handled by the company. South Texas Securities Co. also </w:t>
      </w:r>
      <w:r w:rsidR="005F3B17" w:rsidRPr="00833B25">
        <w:rPr>
          <w:rFonts w:cs="Arial"/>
          <w:sz w:val="21"/>
          <w:szCs w:val="21"/>
        </w:rPr>
        <w:t>wants</w:t>
      </w:r>
      <w:r w:rsidR="00772260" w:rsidRPr="00833B25">
        <w:rPr>
          <w:rFonts w:cs="Arial"/>
          <w:sz w:val="21"/>
          <w:szCs w:val="21"/>
        </w:rPr>
        <w:t xml:space="preserve"> to educate the public on the various fraudulent mechanisms prevalent in society</w:t>
      </w:r>
      <w:r w:rsidR="005F3B17" w:rsidRPr="00833B25">
        <w:rPr>
          <w:rFonts w:cs="Arial"/>
          <w:sz w:val="21"/>
          <w:szCs w:val="21"/>
        </w:rPr>
        <w:t xml:space="preserve"> and their </w:t>
      </w:r>
      <w:r w:rsidR="00BE5367" w:rsidRPr="00833B25">
        <w:rPr>
          <w:rFonts w:cs="Arial"/>
          <w:sz w:val="21"/>
          <w:szCs w:val="21"/>
        </w:rPr>
        <w:t xml:space="preserve">new </w:t>
      </w:r>
      <w:r w:rsidR="005F3B17" w:rsidRPr="00833B25">
        <w:rPr>
          <w:rFonts w:cs="Arial"/>
          <w:sz w:val="21"/>
          <w:szCs w:val="21"/>
        </w:rPr>
        <w:t xml:space="preserve">website is one of the means of </w:t>
      </w:r>
      <w:r w:rsidR="00F02AF5" w:rsidRPr="00833B25">
        <w:rPr>
          <w:rFonts w:cs="Arial"/>
          <w:sz w:val="21"/>
          <w:szCs w:val="21"/>
        </w:rPr>
        <w:t>creating awareness among investors</w:t>
      </w:r>
      <w:r w:rsidR="00772260" w:rsidRPr="00833B25">
        <w:rPr>
          <w:rFonts w:cs="Arial"/>
          <w:sz w:val="21"/>
          <w:szCs w:val="21"/>
        </w:rPr>
        <w:t xml:space="preserve">. </w:t>
      </w:r>
    </w:p>
    <w:p w14:paraId="4ADA9D2F" w14:textId="77777777" w:rsidR="00C41200" w:rsidRPr="00833B25" w:rsidRDefault="00C41200" w:rsidP="00A57806">
      <w:pPr>
        <w:jc w:val="both"/>
        <w:rPr>
          <w:rFonts w:cs="Arial"/>
          <w:sz w:val="21"/>
          <w:szCs w:val="21"/>
        </w:rPr>
      </w:pPr>
      <w:r w:rsidRPr="00833B25">
        <w:rPr>
          <w:rFonts w:cs="Arial"/>
          <w:sz w:val="21"/>
          <w:szCs w:val="21"/>
        </w:rPr>
        <w:t xml:space="preserve">Mr. Frank E. Hartung, the company’s Chief Compliance Officer (CCO) and Managing Partner, states, </w:t>
      </w:r>
      <w:r w:rsidR="007F20E7" w:rsidRPr="00833B25">
        <w:rPr>
          <w:rFonts w:cs="Arial"/>
          <w:sz w:val="21"/>
          <w:szCs w:val="21"/>
        </w:rPr>
        <w:t>“</w:t>
      </w:r>
      <w:r w:rsidR="007F20E7" w:rsidRPr="00833B25">
        <w:rPr>
          <w:rFonts w:cs="Arial"/>
          <w:b/>
          <w:bCs/>
          <w:sz w:val="21"/>
          <w:szCs w:val="21"/>
        </w:rPr>
        <w:t> </w:t>
      </w:r>
      <w:r w:rsidR="007F20E7" w:rsidRPr="00833B25">
        <w:rPr>
          <w:rFonts w:cs="Arial"/>
          <w:b/>
          <w:bCs/>
          <w:i/>
          <w:sz w:val="21"/>
          <w:szCs w:val="21"/>
        </w:rPr>
        <w:t>The way information and technology have evolved, has given more people easy access to information that can potentially save their investments, using the internet is a great source as well as being time efficient.</w:t>
      </w:r>
      <w:r w:rsidR="00AB66A0" w:rsidRPr="00833B25">
        <w:rPr>
          <w:rFonts w:cs="Arial"/>
          <w:sz w:val="21"/>
          <w:szCs w:val="21"/>
        </w:rPr>
        <w:t xml:space="preserve">” He does, however, </w:t>
      </w:r>
      <w:r w:rsidR="007F20E7" w:rsidRPr="00833B25">
        <w:rPr>
          <w:rFonts w:cs="Arial"/>
          <w:sz w:val="21"/>
          <w:szCs w:val="21"/>
        </w:rPr>
        <w:t xml:space="preserve">have some reservations about the quality of the information provided. </w:t>
      </w:r>
    </w:p>
    <w:p w14:paraId="3FCCE140" w14:textId="77777777" w:rsidR="00862BC8" w:rsidRPr="00833B25" w:rsidRDefault="00A14855" w:rsidP="00A57806">
      <w:pPr>
        <w:pStyle w:val="NormalWeb"/>
        <w:shd w:val="clear" w:color="auto" w:fill="FFFFFF"/>
        <w:spacing w:before="0" w:beforeAutospacing="0" w:after="0" w:afterAutospacing="0"/>
        <w:jc w:val="both"/>
        <w:rPr>
          <w:rFonts w:asciiTheme="minorHAnsi" w:eastAsiaTheme="minorEastAsia" w:hAnsiTheme="minorHAnsi" w:cs="Arial"/>
          <w:sz w:val="21"/>
          <w:szCs w:val="21"/>
        </w:rPr>
      </w:pPr>
      <w:r w:rsidRPr="00833B25">
        <w:rPr>
          <w:rFonts w:asciiTheme="minorHAnsi" w:eastAsiaTheme="minorEastAsia" w:hAnsiTheme="minorHAnsi" w:cs="Arial"/>
          <w:sz w:val="21"/>
          <w:szCs w:val="21"/>
        </w:rPr>
        <w:t>Mr</w:t>
      </w:r>
      <w:r w:rsidR="009C4AD3" w:rsidRPr="00833B25">
        <w:rPr>
          <w:rFonts w:asciiTheme="minorHAnsi" w:eastAsiaTheme="minorEastAsia" w:hAnsiTheme="minorHAnsi" w:cs="Arial"/>
          <w:sz w:val="21"/>
          <w:szCs w:val="21"/>
        </w:rPr>
        <w:t>.</w:t>
      </w:r>
      <w:r w:rsidRPr="00833B25">
        <w:rPr>
          <w:rFonts w:asciiTheme="minorHAnsi" w:eastAsiaTheme="minorEastAsia" w:hAnsiTheme="minorHAnsi" w:cs="Arial"/>
          <w:sz w:val="21"/>
          <w:szCs w:val="21"/>
        </w:rPr>
        <w:t xml:space="preserve"> Hartung highlights that only by examining a large pool of brokers, investors can identify brokerages much more likely to harm buyers. He says, "</w:t>
      </w:r>
      <w:r w:rsidRPr="00833B25">
        <w:rPr>
          <w:rFonts w:asciiTheme="minorHAnsi" w:eastAsiaTheme="minorEastAsia" w:hAnsiTheme="minorHAnsi" w:cs="Arial"/>
          <w:b/>
          <w:bCs/>
          <w:i/>
          <w:sz w:val="21"/>
          <w:szCs w:val="21"/>
        </w:rPr>
        <w:t>It is a common error to assume that because individual brokers can be found on websites and, in the aggregate, these details are useful for separating risky broker agents from lower-risk agents that useful information is publicly available. The creators of these sites need regulators to make sure such information is available in mass volume so researchers have simple metrics they can use to safeguard themselves.</w:t>
      </w:r>
      <w:r w:rsidRPr="00833B25">
        <w:rPr>
          <w:rFonts w:asciiTheme="minorHAnsi" w:eastAsiaTheme="minorEastAsia" w:hAnsiTheme="minorHAnsi" w:cs="Arial"/>
          <w:sz w:val="21"/>
          <w:szCs w:val="21"/>
        </w:rPr>
        <w:t xml:space="preserve">” </w:t>
      </w:r>
      <w:r w:rsidR="008912B0" w:rsidRPr="00833B25">
        <w:rPr>
          <w:rFonts w:asciiTheme="minorHAnsi" w:eastAsiaTheme="minorEastAsia" w:hAnsiTheme="minorHAnsi" w:cs="Arial"/>
          <w:sz w:val="21"/>
          <w:szCs w:val="21"/>
        </w:rPr>
        <w:t xml:space="preserve"> </w:t>
      </w:r>
    </w:p>
    <w:p w14:paraId="31EA3189" w14:textId="77777777" w:rsidR="00862BC8" w:rsidRPr="00833B25" w:rsidRDefault="00862BC8" w:rsidP="00A57806">
      <w:pPr>
        <w:pStyle w:val="NormalWeb"/>
        <w:shd w:val="clear" w:color="auto" w:fill="FFFFFF"/>
        <w:spacing w:before="0" w:beforeAutospacing="0" w:after="0" w:afterAutospacing="0"/>
        <w:jc w:val="both"/>
        <w:rPr>
          <w:rFonts w:asciiTheme="minorHAnsi" w:eastAsiaTheme="minorEastAsia" w:hAnsiTheme="minorHAnsi" w:cs="Arial"/>
          <w:sz w:val="21"/>
          <w:szCs w:val="21"/>
        </w:rPr>
      </w:pPr>
    </w:p>
    <w:p w14:paraId="007B3415" w14:textId="77777777" w:rsidR="007F20E7" w:rsidRPr="00833B25" w:rsidRDefault="00A14855" w:rsidP="00A57806">
      <w:pPr>
        <w:pStyle w:val="NormalWeb"/>
        <w:shd w:val="clear" w:color="auto" w:fill="FFFFFF"/>
        <w:spacing w:before="0" w:beforeAutospacing="0" w:after="0" w:afterAutospacing="0"/>
        <w:jc w:val="both"/>
        <w:rPr>
          <w:rFonts w:asciiTheme="minorHAnsi" w:eastAsiaTheme="minorEastAsia" w:hAnsiTheme="minorHAnsi" w:cs="Arial"/>
          <w:sz w:val="21"/>
          <w:szCs w:val="21"/>
        </w:rPr>
      </w:pPr>
      <w:r w:rsidRPr="00833B25">
        <w:rPr>
          <w:rFonts w:asciiTheme="minorHAnsi" w:eastAsiaTheme="minorEastAsia" w:hAnsiTheme="minorHAnsi" w:cs="Arial"/>
          <w:sz w:val="21"/>
          <w:szCs w:val="21"/>
        </w:rPr>
        <w:t>To finish he says, “</w:t>
      </w:r>
      <w:r w:rsidRPr="00833B25">
        <w:rPr>
          <w:rFonts w:asciiTheme="minorHAnsi" w:eastAsiaTheme="minorEastAsia" w:hAnsiTheme="minorHAnsi" w:cs="Arial"/>
          <w:b/>
          <w:bCs/>
          <w:sz w:val="21"/>
          <w:szCs w:val="21"/>
        </w:rPr>
        <w:t> </w:t>
      </w:r>
      <w:r w:rsidRPr="00833B25">
        <w:rPr>
          <w:rFonts w:asciiTheme="minorHAnsi" w:eastAsiaTheme="minorEastAsia" w:hAnsiTheme="minorHAnsi" w:cs="Arial"/>
          <w:b/>
          <w:bCs/>
          <w:i/>
          <w:sz w:val="21"/>
          <w:szCs w:val="21"/>
        </w:rPr>
        <w:t>I hope people don’t have to use our services as we do hear some unfortunate stories from time to time, but we are always here to help and have the most up to date resources at our disposal.</w:t>
      </w:r>
      <w:r w:rsidRPr="00833B25">
        <w:rPr>
          <w:rFonts w:asciiTheme="minorHAnsi" w:eastAsiaTheme="minorEastAsia" w:hAnsiTheme="minorHAnsi" w:cs="Arial"/>
          <w:sz w:val="21"/>
          <w:szCs w:val="21"/>
        </w:rPr>
        <w:t>”</w:t>
      </w:r>
    </w:p>
    <w:p w14:paraId="1189BEE8" w14:textId="77777777" w:rsidR="00862BC8" w:rsidRPr="00833B25" w:rsidRDefault="00862BC8" w:rsidP="00A57806">
      <w:pPr>
        <w:pStyle w:val="NormalWeb"/>
        <w:shd w:val="clear" w:color="auto" w:fill="FFFFFF"/>
        <w:spacing w:before="0" w:beforeAutospacing="0" w:after="0" w:afterAutospacing="0"/>
        <w:jc w:val="both"/>
        <w:rPr>
          <w:rFonts w:asciiTheme="minorHAnsi" w:eastAsiaTheme="minorEastAsia" w:hAnsiTheme="minorHAnsi" w:cs="Arial"/>
          <w:sz w:val="21"/>
          <w:szCs w:val="21"/>
        </w:rPr>
      </w:pPr>
    </w:p>
    <w:p w14:paraId="6C6D8360" w14:textId="77777777" w:rsidR="0000134D" w:rsidRPr="00833B25" w:rsidRDefault="0000134D" w:rsidP="0000134D">
      <w:pPr>
        <w:spacing w:after="0"/>
        <w:rPr>
          <w:rFonts w:cs="Arial"/>
          <w:sz w:val="21"/>
          <w:szCs w:val="21"/>
        </w:rPr>
      </w:pPr>
      <w:r w:rsidRPr="00833B25">
        <w:rPr>
          <w:rFonts w:cs="Arial"/>
          <w:sz w:val="21"/>
          <w:szCs w:val="21"/>
        </w:rPr>
        <w:t>SOUTH TEXAS SECURITIES CO.</w:t>
      </w:r>
    </w:p>
    <w:p w14:paraId="4055EEF3" w14:textId="77777777" w:rsidR="00CA0040" w:rsidRPr="00833B25" w:rsidRDefault="003B14BA" w:rsidP="0000134D">
      <w:pPr>
        <w:spacing w:after="0"/>
        <w:rPr>
          <w:rFonts w:cs="Arial"/>
          <w:sz w:val="21"/>
          <w:szCs w:val="21"/>
        </w:rPr>
      </w:pPr>
      <w:r w:rsidRPr="00833B25">
        <w:rPr>
          <w:rFonts w:cs="Arial"/>
          <w:sz w:val="21"/>
          <w:szCs w:val="21"/>
        </w:rPr>
        <w:t>R</w:t>
      </w:r>
      <w:r w:rsidR="00CA0040" w:rsidRPr="00833B25">
        <w:rPr>
          <w:rFonts w:cs="Arial"/>
          <w:sz w:val="21"/>
          <w:szCs w:val="21"/>
        </w:rPr>
        <w:t>epresent</w:t>
      </w:r>
      <w:r w:rsidRPr="00833B25">
        <w:rPr>
          <w:rFonts w:cs="Arial"/>
          <w:sz w:val="21"/>
          <w:szCs w:val="21"/>
        </w:rPr>
        <w:t>ing</w:t>
      </w:r>
      <w:r w:rsidR="00CA0040" w:rsidRPr="00833B25">
        <w:rPr>
          <w:rFonts w:cs="Arial"/>
          <w:sz w:val="21"/>
          <w:szCs w:val="21"/>
        </w:rPr>
        <w:t xml:space="preserve"> local and international investors who are victims of fraud </w:t>
      </w:r>
    </w:p>
    <w:p w14:paraId="3BBCC641" w14:textId="77777777" w:rsidR="003902ED" w:rsidRPr="00833B25" w:rsidRDefault="003902ED" w:rsidP="0000134D">
      <w:pPr>
        <w:spacing w:after="0"/>
        <w:rPr>
          <w:rFonts w:cs="Arial"/>
          <w:sz w:val="21"/>
          <w:szCs w:val="21"/>
        </w:rPr>
      </w:pPr>
      <w:r w:rsidRPr="00833B25">
        <w:rPr>
          <w:rFonts w:cs="Arial"/>
          <w:sz w:val="21"/>
          <w:szCs w:val="21"/>
        </w:rPr>
        <w:t>Business Phone: +1 866-313-6641</w:t>
      </w:r>
    </w:p>
    <w:p w14:paraId="540E8D9E" w14:textId="77777777" w:rsidR="003902ED" w:rsidRPr="00833B25" w:rsidRDefault="003902ED" w:rsidP="0000134D">
      <w:pPr>
        <w:spacing w:after="0"/>
        <w:rPr>
          <w:rFonts w:cs="Arial"/>
          <w:sz w:val="21"/>
          <w:szCs w:val="21"/>
        </w:rPr>
      </w:pPr>
      <w:r w:rsidRPr="00833B25">
        <w:rPr>
          <w:rFonts w:cs="Arial"/>
          <w:sz w:val="21"/>
          <w:szCs w:val="21"/>
        </w:rPr>
        <w:t xml:space="preserve">Email: </w:t>
      </w:r>
      <w:hyperlink r:id="rId11" w:history="1">
        <w:r w:rsidRPr="00833B25">
          <w:rPr>
            <w:rStyle w:val="Hyperlink"/>
            <w:rFonts w:cs="Arial"/>
            <w:sz w:val="21"/>
            <w:szCs w:val="21"/>
          </w:rPr>
          <w:t>info@southtexassecuritiesco.com</w:t>
        </w:r>
      </w:hyperlink>
    </w:p>
    <w:p w14:paraId="4D5BD6B7" w14:textId="77777777" w:rsidR="003902ED" w:rsidRPr="00833B25" w:rsidRDefault="003902ED" w:rsidP="0000134D">
      <w:pPr>
        <w:spacing w:after="0"/>
        <w:rPr>
          <w:rFonts w:cs="Arial"/>
          <w:sz w:val="21"/>
          <w:szCs w:val="21"/>
        </w:rPr>
      </w:pPr>
      <w:r w:rsidRPr="00833B25">
        <w:rPr>
          <w:rFonts w:cs="Arial"/>
          <w:sz w:val="21"/>
          <w:szCs w:val="21"/>
        </w:rPr>
        <w:t xml:space="preserve">Website: </w:t>
      </w:r>
      <w:hyperlink r:id="rId12" w:history="1">
        <w:r w:rsidRPr="00833B25">
          <w:rPr>
            <w:rStyle w:val="Hyperlink"/>
            <w:rFonts w:cs="Arial"/>
            <w:sz w:val="21"/>
            <w:szCs w:val="21"/>
          </w:rPr>
          <w:t>www.southtexassecuritiesco.com</w:t>
        </w:r>
      </w:hyperlink>
    </w:p>
    <w:p w14:paraId="57490F08" w14:textId="77777777" w:rsidR="003902ED" w:rsidRDefault="003902ED" w:rsidP="0000134D">
      <w:pPr>
        <w:spacing w:after="0"/>
      </w:pPr>
    </w:p>
    <w:p w14:paraId="28D29CF8" w14:textId="77777777" w:rsidR="003A3D6F" w:rsidRDefault="00402A69" w:rsidP="0000134D">
      <w:pPr>
        <w:spacing w:after="0"/>
        <w:rPr>
          <w:rFonts w:ascii="ArialMT" w:hAnsi="ArialMT" w:cs="ArialMT"/>
          <w:u w:val="single"/>
        </w:rPr>
      </w:pPr>
      <w:r w:rsidRPr="00C75D94">
        <w:rPr>
          <w:rFonts w:ascii="ArialMT" w:hAnsi="ArialMT" w:cs="ArialMT"/>
          <w:highlight w:val="black"/>
          <w:u w:val="single"/>
        </w:rPr>
        <w:t>_______________________________________________</w:t>
      </w:r>
      <w:r w:rsidR="00C75D94" w:rsidRPr="00C75D94">
        <w:rPr>
          <w:rFonts w:ascii="ArialMT" w:hAnsi="ArialMT" w:cs="ArialMT"/>
          <w:highlight w:val="black"/>
          <w:u w:val="single"/>
        </w:rPr>
        <w:t>______________________________________</w:t>
      </w:r>
      <w:r w:rsidR="00C75D94" w:rsidRPr="00C75D94">
        <w:rPr>
          <w:rFonts w:ascii="ArialMT" w:hAnsi="ArialMT" w:cs="ArialMT"/>
          <w:u w:val="single"/>
        </w:rPr>
        <w:t xml:space="preserve">   </w:t>
      </w:r>
    </w:p>
    <w:p w14:paraId="32DCA19F" w14:textId="77777777" w:rsidR="00C75D94" w:rsidRPr="00C75D94" w:rsidRDefault="00C75D94" w:rsidP="0000134D">
      <w:pPr>
        <w:spacing w:after="0"/>
        <w:rPr>
          <w:u w:val="single"/>
        </w:rPr>
      </w:pPr>
    </w:p>
    <w:sectPr w:rsidR="00C75D94" w:rsidRPr="00C75D94" w:rsidSect="004B713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A93407" w14:textId="77777777" w:rsidR="00BD3D9D" w:rsidRDefault="00BD3D9D" w:rsidP="00495BAC">
      <w:pPr>
        <w:spacing w:after="0" w:line="240" w:lineRule="auto"/>
      </w:pPr>
      <w:r>
        <w:separator/>
      </w:r>
    </w:p>
  </w:endnote>
  <w:endnote w:type="continuationSeparator" w:id="0">
    <w:p w14:paraId="583D7756" w14:textId="77777777" w:rsidR="00BD3D9D" w:rsidRDefault="00BD3D9D" w:rsidP="00495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6860" w14:textId="77777777" w:rsidR="00BD3D9D" w:rsidRDefault="00BD3D9D" w:rsidP="00495BAC">
      <w:pPr>
        <w:spacing w:after="0" w:line="240" w:lineRule="auto"/>
      </w:pPr>
      <w:r>
        <w:separator/>
      </w:r>
    </w:p>
  </w:footnote>
  <w:footnote w:type="continuationSeparator" w:id="0">
    <w:p w14:paraId="4F126DD0" w14:textId="77777777" w:rsidR="00BD3D9D" w:rsidRDefault="00BD3D9D" w:rsidP="00495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B958C2"/>
    <w:multiLevelType w:val="hybridMultilevel"/>
    <w:tmpl w:val="254E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C3304C"/>
    <w:multiLevelType w:val="hybridMultilevel"/>
    <w:tmpl w:val="58E49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o:colormru v:ext="edit" colors="#08559a"/>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52E"/>
    <w:rsid w:val="0000134D"/>
    <w:rsid w:val="000179CF"/>
    <w:rsid w:val="00022C59"/>
    <w:rsid w:val="00050737"/>
    <w:rsid w:val="0007294E"/>
    <w:rsid w:val="000F152E"/>
    <w:rsid w:val="0012558B"/>
    <w:rsid w:val="00172C3A"/>
    <w:rsid w:val="001779A1"/>
    <w:rsid w:val="001823A6"/>
    <w:rsid w:val="001C26B4"/>
    <w:rsid w:val="001C7C33"/>
    <w:rsid w:val="001D06CB"/>
    <w:rsid w:val="001F3A3F"/>
    <w:rsid w:val="002128AE"/>
    <w:rsid w:val="00263FBF"/>
    <w:rsid w:val="002B6FFF"/>
    <w:rsid w:val="002C6D6E"/>
    <w:rsid w:val="002F40F0"/>
    <w:rsid w:val="0030706E"/>
    <w:rsid w:val="00321BD9"/>
    <w:rsid w:val="003576F7"/>
    <w:rsid w:val="00364CB4"/>
    <w:rsid w:val="003818D8"/>
    <w:rsid w:val="003902ED"/>
    <w:rsid w:val="003A3D6F"/>
    <w:rsid w:val="003A672C"/>
    <w:rsid w:val="003A7D19"/>
    <w:rsid w:val="003B14BA"/>
    <w:rsid w:val="003E2A1E"/>
    <w:rsid w:val="00402A69"/>
    <w:rsid w:val="00407DAB"/>
    <w:rsid w:val="00435FC6"/>
    <w:rsid w:val="0044670B"/>
    <w:rsid w:val="00453916"/>
    <w:rsid w:val="00453E30"/>
    <w:rsid w:val="00490A31"/>
    <w:rsid w:val="00495BAC"/>
    <w:rsid w:val="004A5851"/>
    <w:rsid w:val="004B713A"/>
    <w:rsid w:val="004C0A34"/>
    <w:rsid w:val="004D47CF"/>
    <w:rsid w:val="004F5A8E"/>
    <w:rsid w:val="00566660"/>
    <w:rsid w:val="00573C76"/>
    <w:rsid w:val="005939BC"/>
    <w:rsid w:val="005C465C"/>
    <w:rsid w:val="005D6490"/>
    <w:rsid w:val="005F3B17"/>
    <w:rsid w:val="005F543A"/>
    <w:rsid w:val="0061102B"/>
    <w:rsid w:val="00611A47"/>
    <w:rsid w:val="0063784D"/>
    <w:rsid w:val="006427D6"/>
    <w:rsid w:val="00671527"/>
    <w:rsid w:val="00692677"/>
    <w:rsid w:val="00695806"/>
    <w:rsid w:val="00697913"/>
    <w:rsid w:val="006A671F"/>
    <w:rsid w:val="006C5145"/>
    <w:rsid w:val="00713237"/>
    <w:rsid w:val="00730721"/>
    <w:rsid w:val="00747A05"/>
    <w:rsid w:val="00772260"/>
    <w:rsid w:val="00793916"/>
    <w:rsid w:val="007A2BEB"/>
    <w:rsid w:val="007C7DE1"/>
    <w:rsid w:val="007F20E7"/>
    <w:rsid w:val="00833B25"/>
    <w:rsid w:val="00836487"/>
    <w:rsid w:val="00836593"/>
    <w:rsid w:val="0086021B"/>
    <w:rsid w:val="00862BC8"/>
    <w:rsid w:val="008747E5"/>
    <w:rsid w:val="008912B0"/>
    <w:rsid w:val="008933DF"/>
    <w:rsid w:val="00897A43"/>
    <w:rsid w:val="008A7B9C"/>
    <w:rsid w:val="008B07C5"/>
    <w:rsid w:val="008B6512"/>
    <w:rsid w:val="008C5DF7"/>
    <w:rsid w:val="008F07A1"/>
    <w:rsid w:val="00905852"/>
    <w:rsid w:val="0093545A"/>
    <w:rsid w:val="009412B7"/>
    <w:rsid w:val="0095535A"/>
    <w:rsid w:val="00980558"/>
    <w:rsid w:val="009B37D5"/>
    <w:rsid w:val="009C4AD3"/>
    <w:rsid w:val="00A00D7D"/>
    <w:rsid w:val="00A13FBC"/>
    <w:rsid w:val="00A14855"/>
    <w:rsid w:val="00A22B47"/>
    <w:rsid w:val="00A32C93"/>
    <w:rsid w:val="00A464FD"/>
    <w:rsid w:val="00A57806"/>
    <w:rsid w:val="00A607C3"/>
    <w:rsid w:val="00A625CB"/>
    <w:rsid w:val="00A76E8B"/>
    <w:rsid w:val="00A859DE"/>
    <w:rsid w:val="00A87BF0"/>
    <w:rsid w:val="00AA516B"/>
    <w:rsid w:val="00AB66A0"/>
    <w:rsid w:val="00AC37E4"/>
    <w:rsid w:val="00AC510C"/>
    <w:rsid w:val="00AD3450"/>
    <w:rsid w:val="00AE657B"/>
    <w:rsid w:val="00B05439"/>
    <w:rsid w:val="00B15DA6"/>
    <w:rsid w:val="00B17580"/>
    <w:rsid w:val="00B24AAD"/>
    <w:rsid w:val="00B40E8F"/>
    <w:rsid w:val="00B83525"/>
    <w:rsid w:val="00BB0524"/>
    <w:rsid w:val="00BB4E7C"/>
    <w:rsid w:val="00BD3D9D"/>
    <w:rsid w:val="00BE47A8"/>
    <w:rsid w:val="00BE5367"/>
    <w:rsid w:val="00BE7402"/>
    <w:rsid w:val="00C06981"/>
    <w:rsid w:val="00C118E7"/>
    <w:rsid w:val="00C37738"/>
    <w:rsid w:val="00C41200"/>
    <w:rsid w:val="00C62046"/>
    <w:rsid w:val="00C75D94"/>
    <w:rsid w:val="00C94F9C"/>
    <w:rsid w:val="00CA0040"/>
    <w:rsid w:val="00CF115B"/>
    <w:rsid w:val="00CF4988"/>
    <w:rsid w:val="00D41345"/>
    <w:rsid w:val="00D5029C"/>
    <w:rsid w:val="00D82BF5"/>
    <w:rsid w:val="00D83684"/>
    <w:rsid w:val="00D92DFC"/>
    <w:rsid w:val="00DB27E4"/>
    <w:rsid w:val="00DB64B0"/>
    <w:rsid w:val="00DB7261"/>
    <w:rsid w:val="00DC2CCF"/>
    <w:rsid w:val="00DC62C5"/>
    <w:rsid w:val="00E15F00"/>
    <w:rsid w:val="00E31D50"/>
    <w:rsid w:val="00E36A16"/>
    <w:rsid w:val="00E435AC"/>
    <w:rsid w:val="00E45C5B"/>
    <w:rsid w:val="00E5065A"/>
    <w:rsid w:val="00EB7CCD"/>
    <w:rsid w:val="00ED451A"/>
    <w:rsid w:val="00EE7429"/>
    <w:rsid w:val="00EF4D92"/>
    <w:rsid w:val="00F02AF5"/>
    <w:rsid w:val="00F65A7A"/>
    <w:rsid w:val="00F822BC"/>
    <w:rsid w:val="00F91701"/>
    <w:rsid w:val="00F940BB"/>
    <w:rsid w:val="00FA79D7"/>
    <w:rsid w:val="00FD2FEC"/>
    <w:rsid w:val="00FD6965"/>
    <w:rsid w:val="00FE28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8559a"/>
    </o:shapedefaults>
    <o:shapelayout v:ext="edit">
      <o:idmap v:ext="edit" data="1"/>
    </o:shapelayout>
  </w:shapeDefaults>
  <w:decimalSymbol w:val="."/>
  <w:listSeparator w:val=","/>
  <w14:docId w14:val="72748727"/>
  <w15:docId w15:val="{BA37ED11-06A6-49F4-A5EF-1EA493290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713A"/>
  </w:style>
  <w:style w:type="paragraph" w:styleId="Heading1">
    <w:name w:val="heading 1"/>
    <w:basedOn w:val="Normal"/>
    <w:next w:val="Normal"/>
    <w:link w:val="Heading1Char"/>
    <w:uiPriority w:val="9"/>
    <w:qFormat/>
    <w:rsid w:val="000F15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152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453916"/>
    <w:pPr>
      <w:ind w:left="720"/>
      <w:contextualSpacing/>
    </w:pPr>
  </w:style>
  <w:style w:type="character" w:styleId="Hyperlink">
    <w:name w:val="Hyperlink"/>
    <w:basedOn w:val="DefaultParagraphFont"/>
    <w:uiPriority w:val="99"/>
    <w:unhideWhenUsed/>
    <w:rsid w:val="0063784D"/>
    <w:rPr>
      <w:color w:val="0000FF" w:themeColor="hyperlink"/>
      <w:u w:val="single"/>
    </w:rPr>
  </w:style>
  <w:style w:type="character" w:styleId="Strong">
    <w:name w:val="Strong"/>
    <w:basedOn w:val="DefaultParagraphFont"/>
    <w:uiPriority w:val="22"/>
    <w:qFormat/>
    <w:rsid w:val="00C41200"/>
    <w:rPr>
      <w:b/>
      <w:bCs/>
    </w:rPr>
  </w:style>
  <w:style w:type="paragraph" w:styleId="NormalWeb">
    <w:name w:val="Normal (Web)"/>
    <w:basedOn w:val="Normal"/>
    <w:uiPriority w:val="99"/>
    <w:unhideWhenUsed/>
    <w:rsid w:val="00A1485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95B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95BAC"/>
  </w:style>
  <w:style w:type="paragraph" w:styleId="Footer">
    <w:name w:val="footer"/>
    <w:basedOn w:val="Normal"/>
    <w:link w:val="FooterChar"/>
    <w:uiPriority w:val="99"/>
    <w:semiHidden/>
    <w:unhideWhenUsed/>
    <w:rsid w:val="00495BA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95BAC"/>
  </w:style>
  <w:style w:type="paragraph" w:styleId="BalloonText">
    <w:name w:val="Balloon Text"/>
    <w:basedOn w:val="Normal"/>
    <w:link w:val="BalloonTextChar"/>
    <w:uiPriority w:val="99"/>
    <w:semiHidden/>
    <w:unhideWhenUsed/>
    <w:rsid w:val="003A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3D6F"/>
    <w:rPr>
      <w:rFonts w:ascii="Tahoma" w:hAnsi="Tahoma" w:cs="Tahoma"/>
      <w:sz w:val="16"/>
      <w:szCs w:val="16"/>
    </w:rPr>
  </w:style>
  <w:style w:type="table" w:styleId="TableGrid">
    <w:name w:val="Table Grid"/>
    <w:basedOn w:val="TableNormal"/>
    <w:uiPriority w:val="59"/>
    <w:rsid w:val="00F9170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2606">
      <w:bodyDiv w:val="1"/>
      <w:marLeft w:val="0"/>
      <w:marRight w:val="0"/>
      <w:marTop w:val="0"/>
      <w:marBottom w:val="0"/>
      <w:divBdr>
        <w:top w:val="none" w:sz="0" w:space="0" w:color="auto"/>
        <w:left w:val="none" w:sz="0" w:space="0" w:color="auto"/>
        <w:bottom w:val="none" w:sz="0" w:space="0" w:color="auto"/>
        <w:right w:val="none" w:sz="0" w:space="0" w:color="auto"/>
      </w:divBdr>
    </w:div>
    <w:div w:id="446435839">
      <w:bodyDiv w:val="1"/>
      <w:marLeft w:val="0"/>
      <w:marRight w:val="0"/>
      <w:marTop w:val="0"/>
      <w:marBottom w:val="0"/>
      <w:divBdr>
        <w:top w:val="none" w:sz="0" w:space="0" w:color="auto"/>
        <w:left w:val="none" w:sz="0" w:space="0" w:color="auto"/>
        <w:bottom w:val="none" w:sz="0" w:space="0" w:color="auto"/>
        <w:right w:val="none" w:sz="0" w:space="0" w:color="auto"/>
      </w:divBdr>
    </w:div>
    <w:div w:id="722096879">
      <w:bodyDiv w:val="1"/>
      <w:marLeft w:val="0"/>
      <w:marRight w:val="0"/>
      <w:marTop w:val="0"/>
      <w:marBottom w:val="0"/>
      <w:divBdr>
        <w:top w:val="none" w:sz="0" w:space="0" w:color="auto"/>
        <w:left w:val="none" w:sz="0" w:space="0" w:color="auto"/>
        <w:bottom w:val="none" w:sz="0" w:space="0" w:color="auto"/>
        <w:right w:val="none" w:sz="0" w:space="0" w:color="auto"/>
      </w:divBdr>
    </w:div>
    <w:div w:id="773327644">
      <w:bodyDiv w:val="1"/>
      <w:marLeft w:val="0"/>
      <w:marRight w:val="0"/>
      <w:marTop w:val="0"/>
      <w:marBottom w:val="0"/>
      <w:divBdr>
        <w:top w:val="none" w:sz="0" w:space="0" w:color="auto"/>
        <w:left w:val="none" w:sz="0" w:space="0" w:color="auto"/>
        <w:bottom w:val="none" w:sz="0" w:space="0" w:color="auto"/>
        <w:right w:val="none" w:sz="0" w:space="0" w:color="auto"/>
      </w:divBdr>
    </w:div>
    <w:div w:id="963269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thtexassecuritiesco.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outhtexassecuritiesc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southtexassecuritiesco.com" TargetMode="External"/><Relationship Id="rId5" Type="http://schemas.openxmlformats.org/officeDocument/2006/relationships/footnotes" Target="footnotes.xml"/><Relationship Id="rId10" Type="http://schemas.openxmlformats.org/officeDocument/2006/relationships/hyperlink" Target="http://www.southtexassecuritiesco.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754</Words>
  <Characters>4301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Behindwoods</dc:creator>
  <cp:lastModifiedBy>Yogesh Rupani</cp:lastModifiedBy>
  <cp:revision>2</cp:revision>
  <dcterms:created xsi:type="dcterms:W3CDTF">2019-10-07T13:09:00Z</dcterms:created>
  <dcterms:modified xsi:type="dcterms:W3CDTF">2019-10-07T13:09:00Z</dcterms:modified>
</cp:coreProperties>
</file>