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9F2DE" w14:textId="77777777" w:rsidR="007B2253" w:rsidRDefault="007B225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73F6E86A" w14:textId="77777777" w:rsidR="007B2253" w:rsidRDefault="002538F7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2D4939" wp14:editId="185EDCF6">
            <wp:extent cx="1907228" cy="6884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228" cy="68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F2C6F" w14:textId="77777777" w:rsidR="007B2253" w:rsidRDefault="007B2253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14:paraId="05F03EF8" w14:textId="77777777" w:rsidR="002538F7" w:rsidRDefault="002538F7">
      <w:pPr>
        <w:pStyle w:val="BodyText"/>
        <w:spacing w:before="74" w:line="328" w:lineRule="auto"/>
        <w:ind w:right="238"/>
        <w:rPr>
          <w:rFonts w:cs="Arial"/>
          <w:b/>
          <w:bCs/>
          <w:color w:val="1C1C1C"/>
          <w:spacing w:val="27"/>
        </w:rPr>
      </w:pPr>
    </w:p>
    <w:p w14:paraId="2C9876F7" w14:textId="4B7FEE92" w:rsidR="007B2253" w:rsidRDefault="002538F7">
      <w:pPr>
        <w:pStyle w:val="BodyText"/>
        <w:spacing w:before="74" w:line="328" w:lineRule="auto"/>
        <w:ind w:right="238"/>
      </w:pPr>
      <w:r>
        <w:rPr>
          <w:rFonts w:cs="Arial"/>
          <w:b/>
          <w:bCs/>
          <w:color w:val="1C1C1C"/>
          <w:spacing w:val="27"/>
        </w:rPr>
        <w:t>H</w:t>
      </w:r>
      <w:r>
        <w:rPr>
          <w:rFonts w:cs="Arial"/>
          <w:b/>
          <w:bCs/>
          <w:color w:val="1C1C1C"/>
          <w:spacing w:val="25"/>
        </w:rPr>
        <w:t>O</w:t>
      </w:r>
      <w:r>
        <w:rPr>
          <w:rFonts w:cs="Arial"/>
          <w:b/>
          <w:bCs/>
          <w:color w:val="1C1C1C"/>
          <w:spacing w:val="27"/>
        </w:rPr>
        <w:t>U</w:t>
      </w:r>
      <w:r>
        <w:rPr>
          <w:rFonts w:cs="Arial"/>
          <w:b/>
          <w:bCs/>
          <w:color w:val="1C1C1C"/>
          <w:spacing w:val="24"/>
        </w:rPr>
        <w:t>S</w:t>
      </w:r>
      <w:r>
        <w:rPr>
          <w:rFonts w:cs="Arial"/>
          <w:b/>
          <w:bCs/>
          <w:color w:val="1C1C1C"/>
        </w:rPr>
        <w:t>T</w:t>
      </w:r>
      <w:r>
        <w:rPr>
          <w:rFonts w:cs="Arial"/>
          <w:b/>
          <w:bCs/>
          <w:color w:val="1C1C1C"/>
          <w:spacing w:val="-30"/>
        </w:rPr>
        <w:t xml:space="preserve"> </w:t>
      </w:r>
      <w:r>
        <w:rPr>
          <w:rFonts w:cs="Arial"/>
          <w:b/>
          <w:bCs/>
          <w:color w:val="1C1C1C"/>
          <w:spacing w:val="16"/>
        </w:rPr>
        <w:t>ON,</w:t>
      </w:r>
      <w:r>
        <w:rPr>
          <w:rFonts w:cs="Arial"/>
          <w:b/>
          <w:bCs/>
          <w:color w:val="1C1C1C"/>
          <w:spacing w:val="50"/>
        </w:rPr>
        <w:t xml:space="preserve"> </w:t>
      </w:r>
      <w:r>
        <w:rPr>
          <w:rFonts w:cs="Arial"/>
          <w:b/>
          <w:bCs/>
          <w:color w:val="1C1C1C"/>
        </w:rPr>
        <w:t>T</w:t>
      </w:r>
      <w:r>
        <w:rPr>
          <w:rFonts w:cs="Arial"/>
          <w:b/>
          <w:bCs/>
          <w:color w:val="1C1C1C"/>
          <w:spacing w:val="-30"/>
        </w:rPr>
        <w:t xml:space="preserve"> </w:t>
      </w:r>
      <w:r>
        <w:rPr>
          <w:rFonts w:cs="Arial"/>
          <w:b/>
          <w:bCs/>
          <w:color w:val="1C1C1C"/>
        </w:rPr>
        <w:t>X</w:t>
      </w:r>
      <w:r>
        <w:rPr>
          <w:rFonts w:cs="Arial"/>
          <w:b/>
          <w:bCs/>
          <w:color w:val="1C1C1C"/>
          <w:spacing w:val="52"/>
        </w:rPr>
        <w:t xml:space="preserve"> </w:t>
      </w:r>
      <w:r>
        <w:rPr>
          <w:rFonts w:cs="Arial"/>
          <w:b/>
          <w:bCs/>
          <w:color w:val="1C1C1C"/>
        </w:rPr>
        <w:t>–</w:t>
      </w:r>
      <w:r>
        <w:rPr>
          <w:rFonts w:cs="Arial"/>
          <w:b/>
          <w:bCs/>
          <w:color w:val="1C1C1C"/>
          <w:spacing w:val="52"/>
        </w:rPr>
        <w:t xml:space="preserve"> </w:t>
      </w:r>
      <w:r>
        <w:rPr>
          <w:rFonts w:cs="Arial"/>
          <w:b/>
          <w:bCs/>
          <w:color w:val="1C1C1C"/>
          <w:spacing w:val="25"/>
        </w:rPr>
        <w:t>M</w:t>
      </w:r>
      <w:r>
        <w:rPr>
          <w:rFonts w:cs="Arial"/>
          <w:b/>
          <w:bCs/>
          <w:color w:val="1C1C1C"/>
          <w:spacing w:val="26"/>
        </w:rPr>
        <w:t>a</w:t>
      </w:r>
      <w:r>
        <w:rPr>
          <w:rFonts w:cs="Arial"/>
          <w:b/>
          <w:bCs/>
          <w:color w:val="1C1C1C"/>
          <w:spacing w:val="25"/>
        </w:rPr>
        <w:t>r</w:t>
      </w:r>
      <w:r>
        <w:rPr>
          <w:rFonts w:cs="Arial"/>
          <w:b/>
          <w:bCs/>
          <w:color w:val="1C1C1C"/>
          <w:spacing w:val="26"/>
        </w:rPr>
        <w:t>c</w:t>
      </w:r>
      <w:r>
        <w:rPr>
          <w:rFonts w:cs="Arial"/>
          <w:b/>
          <w:bCs/>
          <w:color w:val="1C1C1C"/>
        </w:rPr>
        <w:t>h</w:t>
      </w:r>
      <w:r>
        <w:rPr>
          <w:rFonts w:cs="Arial"/>
          <w:b/>
          <w:bCs/>
          <w:color w:val="1C1C1C"/>
          <w:spacing w:val="52"/>
        </w:rPr>
        <w:t xml:space="preserve"> </w:t>
      </w:r>
      <w:r>
        <w:rPr>
          <w:rFonts w:cs="Arial"/>
          <w:b/>
          <w:bCs/>
          <w:color w:val="1C1C1C"/>
          <w:spacing w:val="13"/>
        </w:rPr>
        <w:t>5,</w:t>
      </w:r>
      <w:r>
        <w:rPr>
          <w:rFonts w:cs="Arial"/>
          <w:b/>
          <w:bCs/>
          <w:color w:val="1C1C1C"/>
          <w:spacing w:val="53"/>
        </w:rPr>
        <w:t xml:space="preserve"> </w:t>
      </w:r>
      <w:r>
        <w:rPr>
          <w:rFonts w:cs="Arial"/>
          <w:b/>
          <w:bCs/>
          <w:color w:val="1C1C1C"/>
          <w:spacing w:val="19"/>
        </w:rPr>
        <w:t>2020</w:t>
      </w:r>
      <w:r>
        <w:rPr>
          <w:rFonts w:cs="Arial"/>
          <w:b/>
          <w:bCs/>
          <w:color w:val="1C1C1C"/>
          <w:spacing w:val="25"/>
        </w:rPr>
        <w:t xml:space="preserve"> </w:t>
      </w:r>
      <w:r>
        <w:rPr>
          <w:rFonts w:cs="Arial"/>
          <w:b/>
          <w:bCs/>
          <w:color w:val="1C1C1C"/>
        </w:rPr>
        <w:t>–</w:t>
      </w:r>
      <w:r>
        <w:rPr>
          <w:rFonts w:cs="Arial"/>
          <w:b/>
          <w:bCs/>
          <w:color w:val="1C1C1C"/>
          <w:spacing w:val="25"/>
        </w:rPr>
        <w:t xml:space="preserve"> </w:t>
      </w:r>
      <w:r>
        <w:rPr>
          <w:color w:val="1C1C1C"/>
          <w:spacing w:val="-1"/>
        </w:rPr>
        <w:t>AXON</w:t>
      </w:r>
      <w:r>
        <w:rPr>
          <w:color w:val="1C1C1C"/>
          <w:spacing w:val="-3"/>
        </w:rPr>
        <w:t xml:space="preserve"> </w:t>
      </w:r>
      <w:r>
        <w:rPr>
          <w:color w:val="1C1C1C"/>
          <w:spacing w:val="-1"/>
        </w:rPr>
        <w:t>Energy Services (AES)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-1"/>
        </w:rPr>
        <w:t xml:space="preserve"> </w:t>
      </w:r>
      <w:r>
        <w:rPr>
          <w:color w:val="1C1C1C"/>
          <w:spacing w:val="-2"/>
        </w:rPr>
        <w:t>pleased</w:t>
      </w:r>
      <w:r>
        <w:rPr>
          <w:color w:val="1C1C1C"/>
          <w:spacing w:val="-1"/>
        </w:rPr>
        <w:t xml:space="preserve"> to announce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it</w:t>
      </w:r>
      <w:r>
        <w:rPr>
          <w:color w:val="1C1C1C"/>
          <w:spacing w:val="453"/>
        </w:rPr>
        <w:t xml:space="preserve"> </w:t>
      </w:r>
      <w:r>
        <w:rPr>
          <w:color w:val="1C1C1C"/>
        </w:rPr>
        <w:t>has</w:t>
      </w:r>
      <w:r>
        <w:rPr>
          <w:color w:val="1C1C1C"/>
          <w:spacing w:val="-1"/>
        </w:rPr>
        <w:t xml:space="preserve"> signed </w:t>
      </w:r>
      <w:r>
        <w:rPr>
          <w:color w:val="1C1C1C"/>
        </w:rPr>
        <w:t>a</w:t>
      </w:r>
      <w:r>
        <w:rPr>
          <w:color w:val="1C1C1C"/>
          <w:spacing w:val="-1"/>
        </w:rPr>
        <w:t xml:space="preserve"> Service </w:t>
      </w:r>
      <w:r>
        <w:rPr>
          <w:color w:val="1C1C1C"/>
        </w:rPr>
        <w:t>and</w:t>
      </w:r>
      <w:r>
        <w:rPr>
          <w:color w:val="1C1C1C"/>
          <w:spacing w:val="-3"/>
        </w:rPr>
        <w:t xml:space="preserve"> </w:t>
      </w:r>
      <w:r>
        <w:rPr>
          <w:color w:val="1C1C1C"/>
          <w:spacing w:val="-1"/>
        </w:rPr>
        <w:t>Maintenance agreement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for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 xml:space="preserve">the Permian Basin </w:t>
      </w:r>
      <w:r>
        <w:rPr>
          <w:color w:val="1C1C1C"/>
          <w:spacing w:val="-2"/>
        </w:rPr>
        <w:t>Region</w:t>
      </w:r>
      <w:r>
        <w:rPr>
          <w:color w:val="1C1C1C"/>
          <w:spacing w:val="-1"/>
        </w:rPr>
        <w:t xml:space="preserve"> with Performance</w:t>
      </w:r>
      <w:r>
        <w:rPr>
          <w:color w:val="1C1C1C"/>
          <w:spacing w:val="37"/>
        </w:rPr>
        <w:t xml:space="preserve"> </w:t>
      </w:r>
      <w:r>
        <w:rPr>
          <w:color w:val="1C1C1C"/>
          <w:spacing w:val="-1"/>
        </w:rPr>
        <w:t>Wellhead and Frac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Components,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LLC</w:t>
      </w:r>
      <w:r>
        <w:rPr>
          <w:color w:val="1C1C1C"/>
        </w:rPr>
        <w:t xml:space="preserve"> </w:t>
      </w:r>
      <w:r>
        <w:rPr>
          <w:color w:val="1C1C1C"/>
          <w:spacing w:val="-1"/>
        </w:rPr>
        <w:t>(PWC),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-1"/>
        </w:rPr>
        <w:t xml:space="preserve"> Pelican</w:t>
      </w:r>
      <w:r>
        <w:rPr>
          <w:color w:val="1C1C1C"/>
          <w:spacing w:val="-3"/>
        </w:rPr>
        <w:t xml:space="preserve"> </w:t>
      </w:r>
      <w:r>
        <w:rPr>
          <w:color w:val="1C1C1C"/>
          <w:spacing w:val="-1"/>
        </w:rPr>
        <w:t>Energy Partners company.</w:t>
      </w:r>
      <w:r>
        <w:rPr>
          <w:color w:val="1C1C1C"/>
          <w:spacing w:val="55"/>
        </w:rPr>
        <w:t xml:space="preserve"> </w:t>
      </w:r>
      <w:r>
        <w:rPr>
          <w:color w:val="1C1C1C"/>
          <w:spacing w:val="-1"/>
        </w:rPr>
        <w:t>This facility will</w:t>
      </w:r>
      <w:r>
        <w:rPr>
          <w:color w:val="1C1C1C"/>
          <w:spacing w:val="45"/>
        </w:rPr>
        <w:t xml:space="preserve"> </w:t>
      </w:r>
      <w:r>
        <w:rPr>
          <w:color w:val="1C1C1C"/>
        </w:rPr>
        <w:t>be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-1"/>
        </w:rPr>
        <w:t xml:space="preserve"> full</w:t>
      </w:r>
      <w:r>
        <w:rPr>
          <w:color w:val="1C1C1C"/>
        </w:rPr>
        <w:t>-service</w:t>
      </w:r>
      <w:r>
        <w:rPr>
          <w:color w:val="1C1C1C"/>
          <w:spacing w:val="-1"/>
        </w:rPr>
        <w:t xml:space="preserve"> shop with</w:t>
      </w:r>
      <w:r>
        <w:rPr>
          <w:color w:val="1C1C1C"/>
          <w:spacing w:val="-3"/>
        </w:rPr>
        <w:t xml:space="preserve"> </w:t>
      </w:r>
      <w:r>
        <w:rPr>
          <w:color w:val="1C1C1C"/>
          <w:spacing w:val="-1"/>
        </w:rPr>
        <w:t xml:space="preserve">the capabilities </w:t>
      </w:r>
      <w:r>
        <w:rPr>
          <w:color w:val="1C1C1C"/>
        </w:rPr>
        <w:t>of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performing</w:t>
      </w:r>
      <w:r>
        <w:rPr>
          <w:color w:val="1C1C1C"/>
          <w:spacing w:val="-3"/>
        </w:rPr>
        <w:t xml:space="preserve"> </w:t>
      </w:r>
      <w:r>
        <w:rPr>
          <w:color w:val="1C1C1C"/>
          <w:spacing w:val="-1"/>
        </w:rPr>
        <w:t>Reseal</w:t>
      </w:r>
      <w:r>
        <w:rPr>
          <w:color w:val="1C1C1C"/>
        </w:rPr>
        <w:t xml:space="preserve"> and</w:t>
      </w:r>
      <w:r>
        <w:rPr>
          <w:color w:val="1C1C1C"/>
          <w:spacing w:val="-3"/>
        </w:rPr>
        <w:t xml:space="preserve"> </w:t>
      </w:r>
      <w:r>
        <w:rPr>
          <w:color w:val="1C1C1C"/>
          <w:spacing w:val="-1"/>
        </w:rPr>
        <w:t>Testing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BOP</w:t>
      </w:r>
      <w:r>
        <w:rPr>
          <w:color w:val="1C1C1C"/>
        </w:rPr>
        <w:t xml:space="preserve"> </w:t>
      </w:r>
      <w:r>
        <w:rPr>
          <w:color w:val="1C1C1C"/>
          <w:spacing w:val="-1"/>
        </w:rPr>
        <w:t>equipment,</w:t>
      </w:r>
      <w:r>
        <w:rPr>
          <w:color w:val="1C1C1C"/>
          <w:spacing w:val="43"/>
        </w:rPr>
        <w:t xml:space="preserve"> </w:t>
      </w:r>
      <w:r>
        <w:rPr>
          <w:color w:val="1C1C1C"/>
          <w:spacing w:val="-1"/>
        </w:rPr>
        <w:t>valves and control</w:t>
      </w:r>
      <w:r>
        <w:rPr>
          <w:color w:val="1C1C1C"/>
        </w:rPr>
        <w:t xml:space="preserve"> </w:t>
      </w:r>
      <w:r>
        <w:rPr>
          <w:color w:val="1C1C1C"/>
          <w:spacing w:val="-1"/>
        </w:rPr>
        <w:t>units.</w:t>
      </w:r>
      <w:r>
        <w:rPr>
          <w:color w:val="1C1C1C"/>
          <w:spacing w:val="54"/>
        </w:rPr>
        <w:t xml:space="preserve"> </w:t>
      </w:r>
      <w:r>
        <w:rPr>
          <w:color w:val="1C1C1C"/>
          <w:spacing w:val="-1"/>
        </w:rPr>
        <w:t>AES</w:t>
      </w:r>
      <w:r>
        <w:rPr>
          <w:color w:val="1C1C1C"/>
        </w:rPr>
        <w:t xml:space="preserve"> </w:t>
      </w:r>
      <w:r>
        <w:rPr>
          <w:color w:val="1C1C1C"/>
          <w:spacing w:val="-1"/>
        </w:rPr>
        <w:t>will</w:t>
      </w:r>
      <w:r>
        <w:rPr>
          <w:color w:val="1C1C1C"/>
        </w:rPr>
        <w:t xml:space="preserve"> be</w:t>
      </w:r>
      <w:r>
        <w:rPr>
          <w:color w:val="1C1C1C"/>
          <w:spacing w:val="-1"/>
        </w:rPr>
        <w:t xml:space="preserve"> stocking all</w:t>
      </w:r>
      <w:r>
        <w:rPr>
          <w:color w:val="1C1C1C"/>
        </w:rPr>
        <w:t xml:space="preserve"> </w:t>
      </w:r>
      <w:r>
        <w:rPr>
          <w:color w:val="1C1C1C"/>
          <w:spacing w:val="-2"/>
        </w:rPr>
        <w:t>necessary</w:t>
      </w:r>
      <w:r>
        <w:rPr>
          <w:color w:val="1C1C1C"/>
          <w:spacing w:val="-1"/>
        </w:rPr>
        <w:t xml:space="preserve"> OEM</w:t>
      </w:r>
      <w:r>
        <w:rPr>
          <w:color w:val="1C1C1C"/>
          <w:spacing w:val="-2"/>
        </w:rPr>
        <w:t xml:space="preserve"> BOP</w:t>
      </w:r>
      <w:r>
        <w:rPr>
          <w:color w:val="1C1C1C"/>
        </w:rPr>
        <w:t xml:space="preserve"> </w:t>
      </w:r>
      <w:r>
        <w:rPr>
          <w:color w:val="1C1C1C"/>
          <w:spacing w:val="-1"/>
        </w:rPr>
        <w:t>rubber</w:t>
      </w:r>
      <w:r>
        <w:rPr>
          <w:color w:val="1C1C1C"/>
          <w:spacing w:val="-5"/>
        </w:rPr>
        <w:t xml:space="preserve"> </w:t>
      </w:r>
      <w:r>
        <w:rPr>
          <w:color w:val="1C1C1C"/>
        </w:rPr>
        <w:t>goods,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 xml:space="preserve">valve </w:t>
      </w:r>
      <w:r>
        <w:rPr>
          <w:color w:val="1C1C1C"/>
          <w:spacing w:val="-2"/>
        </w:rPr>
        <w:t>parts</w:t>
      </w:r>
      <w:r>
        <w:rPr>
          <w:color w:val="1C1C1C"/>
          <w:spacing w:val="61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-1"/>
        </w:rPr>
        <w:t xml:space="preserve"> basic control</w:t>
      </w:r>
      <w:r>
        <w:rPr>
          <w:color w:val="1C1C1C"/>
        </w:rPr>
        <w:t xml:space="preserve"> </w:t>
      </w:r>
      <w:r>
        <w:rPr>
          <w:color w:val="1C1C1C"/>
          <w:spacing w:val="-1"/>
        </w:rPr>
        <w:t>uni</w:t>
      </w:r>
      <w:r>
        <w:rPr>
          <w:color w:val="1C1C1C"/>
          <w:spacing w:val="-1"/>
        </w:rPr>
        <w:t>t</w:t>
      </w:r>
      <w:r>
        <w:rPr>
          <w:color w:val="1C1C1C"/>
          <w:spacing w:val="-2"/>
        </w:rPr>
        <w:t xml:space="preserve"> spares.</w:t>
      </w:r>
    </w:p>
    <w:p w14:paraId="7018B6FF" w14:textId="77777777" w:rsidR="007B2253" w:rsidRDefault="007B2253">
      <w:pPr>
        <w:rPr>
          <w:rFonts w:ascii="Arial" w:eastAsia="Arial" w:hAnsi="Arial" w:cs="Arial"/>
          <w:sz w:val="20"/>
          <w:szCs w:val="20"/>
        </w:rPr>
      </w:pPr>
    </w:p>
    <w:p w14:paraId="7F314999" w14:textId="77777777" w:rsidR="007B2253" w:rsidRDefault="007B2253">
      <w:pPr>
        <w:spacing w:before="1"/>
        <w:rPr>
          <w:rFonts w:ascii="Arial" w:eastAsia="Arial" w:hAnsi="Arial" w:cs="Arial"/>
          <w:sz w:val="19"/>
          <w:szCs w:val="19"/>
        </w:rPr>
      </w:pPr>
    </w:p>
    <w:p w14:paraId="20E16141" w14:textId="77777777" w:rsidR="007B2253" w:rsidRDefault="002538F7">
      <w:pPr>
        <w:pStyle w:val="BodyText"/>
        <w:spacing w:line="328" w:lineRule="auto"/>
      </w:pPr>
      <w:r>
        <w:rPr>
          <w:color w:val="1C1C1C"/>
          <w:spacing w:val="-1"/>
        </w:rPr>
        <w:t>According to Jeff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Hunter,</w:t>
      </w:r>
      <w:r>
        <w:rPr>
          <w:color w:val="1C1C1C"/>
          <w:spacing w:val="-5"/>
        </w:rPr>
        <w:t xml:space="preserve"> </w:t>
      </w:r>
      <w:r>
        <w:rPr>
          <w:color w:val="1C1C1C"/>
          <w:spacing w:val="-1"/>
        </w:rPr>
        <w:t>Vice President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Business Development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for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AES,</w:t>
      </w:r>
      <w:r>
        <w:rPr>
          <w:color w:val="1C1C1C"/>
          <w:spacing w:val="-2"/>
        </w:rPr>
        <w:t xml:space="preserve"> “We</w:t>
      </w:r>
      <w:r>
        <w:rPr>
          <w:color w:val="1C1C1C"/>
          <w:spacing w:val="-1"/>
        </w:rPr>
        <w:t xml:space="preserve"> will</w:t>
      </w:r>
      <w:r>
        <w:rPr>
          <w:color w:val="1C1C1C"/>
        </w:rPr>
        <w:t xml:space="preserve"> be</w:t>
      </w:r>
      <w:r>
        <w:rPr>
          <w:color w:val="1C1C1C"/>
          <w:spacing w:val="-1"/>
        </w:rPr>
        <w:t xml:space="preserve"> consistently</w:t>
      </w:r>
      <w:r>
        <w:rPr>
          <w:color w:val="1C1C1C"/>
          <w:spacing w:val="39"/>
        </w:rPr>
        <w:t xml:space="preserve"> </w:t>
      </w:r>
      <w:r>
        <w:rPr>
          <w:color w:val="1C1C1C"/>
          <w:spacing w:val="-1"/>
        </w:rPr>
        <w:t xml:space="preserve">evolving this venture </w:t>
      </w:r>
      <w:r>
        <w:rPr>
          <w:color w:val="1C1C1C"/>
          <w:spacing w:val="-2"/>
        </w:rPr>
        <w:t>so</w:t>
      </w:r>
      <w:r>
        <w:rPr>
          <w:color w:val="1C1C1C"/>
          <w:spacing w:val="-1"/>
        </w:rPr>
        <w:t xml:space="preserve"> that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it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-1"/>
        </w:rPr>
        <w:t xml:space="preserve"> geared toward </w:t>
      </w:r>
      <w:r>
        <w:rPr>
          <w:color w:val="1C1C1C"/>
        </w:rPr>
        <w:t>our</w:t>
      </w:r>
      <w:r>
        <w:rPr>
          <w:color w:val="1C1C1C"/>
          <w:spacing w:val="-4"/>
        </w:rPr>
        <w:t xml:space="preserve"> </w:t>
      </w:r>
      <w:r>
        <w:rPr>
          <w:color w:val="1C1C1C"/>
          <w:spacing w:val="-1"/>
        </w:rPr>
        <w:t>customer’s specific needs.</w:t>
      </w:r>
      <w:r>
        <w:rPr>
          <w:color w:val="1C1C1C"/>
        </w:rPr>
        <w:t xml:space="preserve"> </w:t>
      </w:r>
      <w:r>
        <w:rPr>
          <w:color w:val="1C1C1C"/>
          <w:spacing w:val="54"/>
        </w:rPr>
        <w:t xml:space="preserve"> </w:t>
      </w:r>
      <w:r>
        <w:rPr>
          <w:color w:val="1C1C1C"/>
        </w:rPr>
        <w:t>AES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-3"/>
        </w:rPr>
        <w:t xml:space="preserve"> </w:t>
      </w:r>
      <w:r>
        <w:rPr>
          <w:color w:val="1C1C1C"/>
          <w:spacing w:val="-1"/>
        </w:rPr>
        <w:t>PWC</w:t>
      </w:r>
      <w:r>
        <w:rPr>
          <w:color w:val="1C1C1C"/>
        </w:rPr>
        <w:t xml:space="preserve"> </w:t>
      </w:r>
      <w:r>
        <w:rPr>
          <w:color w:val="1C1C1C"/>
          <w:spacing w:val="-1"/>
        </w:rPr>
        <w:t>have</w:t>
      </w:r>
      <w:r>
        <w:rPr>
          <w:color w:val="1C1C1C"/>
          <w:spacing w:val="45"/>
        </w:rPr>
        <w:t xml:space="preserve"> </w:t>
      </w:r>
      <w:r>
        <w:rPr>
          <w:color w:val="1C1C1C"/>
        </w:rPr>
        <w:t>been</w:t>
      </w:r>
      <w:r>
        <w:rPr>
          <w:color w:val="1C1C1C"/>
          <w:spacing w:val="-1"/>
        </w:rPr>
        <w:t xml:space="preserve"> very successful</w:t>
      </w:r>
      <w:r>
        <w:rPr>
          <w:color w:val="1C1C1C"/>
        </w:rPr>
        <w:t xml:space="preserve"> in</w:t>
      </w:r>
      <w:r>
        <w:rPr>
          <w:color w:val="1C1C1C"/>
          <w:spacing w:val="-1"/>
        </w:rPr>
        <w:t xml:space="preserve"> </w:t>
      </w:r>
      <w:r>
        <w:rPr>
          <w:color w:val="1C1C1C"/>
          <w:spacing w:val="-2"/>
        </w:rPr>
        <w:t xml:space="preserve">the </w:t>
      </w:r>
      <w:r>
        <w:rPr>
          <w:color w:val="1C1C1C"/>
          <w:spacing w:val="-1"/>
        </w:rPr>
        <w:t xml:space="preserve">Permian this </w:t>
      </w:r>
      <w:r>
        <w:rPr>
          <w:color w:val="1C1C1C"/>
        </w:rPr>
        <w:t>year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and we will</w:t>
      </w:r>
      <w:r>
        <w:rPr>
          <w:color w:val="1C1C1C"/>
        </w:rPr>
        <w:t xml:space="preserve"> </w:t>
      </w:r>
      <w:r>
        <w:rPr>
          <w:color w:val="1C1C1C"/>
          <w:spacing w:val="-1"/>
        </w:rPr>
        <w:t>build upon this achievement</w:t>
      </w:r>
      <w:r>
        <w:rPr>
          <w:color w:val="1C1C1C"/>
          <w:spacing w:val="-5"/>
        </w:rPr>
        <w:t xml:space="preserve"> </w:t>
      </w:r>
      <w:r>
        <w:rPr>
          <w:color w:val="1C1C1C"/>
        </w:rPr>
        <w:t>with</w:t>
      </w:r>
      <w:r>
        <w:rPr>
          <w:color w:val="1C1C1C"/>
          <w:spacing w:val="-1"/>
        </w:rPr>
        <w:t xml:space="preserve"> essential</w:t>
      </w:r>
      <w:r>
        <w:rPr>
          <w:color w:val="1C1C1C"/>
          <w:spacing w:val="37"/>
        </w:rPr>
        <w:t xml:space="preserve"> </w:t>
      </w:r>
      <w:r>
        <w:rPr>
          <w:color w:val="1C1C1C"/>
          <w:spacing w:val="-1"/>
        </w:rPr>
        <w:t>stock.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PWC</w:t>
      </w:r>
      <w:r>
        <w:rPr>
          <w:color w:val="1C1C1C"/>
        </w:rPr>
        <w:t xml:space="preserve"> is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-1"/>
        </w:rPr>
        <w:t xml:space="preserve"> known </w:t>
      </w:r>
      <w:r>
        <w:rPr>
          <w:color w:val="1C1C1C"/>
          <w:spacing w:val="-2"/>
        </w:rPr>
        <w:t>entity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in</w:t>
      </w:r>
      <w:r>
        <w:rPr>
          <w:color w:val="1C1C1C"/>
          <w:spacing w:val="-1"/>
        </w:rPr>
        <w:t xml:space="preserve"> the Permian Basin and </w:t>
      </w:r>
      <w:r>
        <w:rPr>
          <w:color w:val="1C1C1C"/>
        </w:rPr>
        <w:t>is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-1"/>
        </w:rPr>
        <w:t xml:space="preserve"> key distribution facility that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provides</w:t>
      </w:r>
      <w:r>
        <w:rPr>
          <w:color w:val="1C1C1C"/>
          <w:spacing w:val="55"/>
        </w:rPr>
        <w:t xml:space="preserve"> </w:t>
      </w:r>
      <w:r>
        <w:rPr>
          <w:color w:val="1C1C1C"/>
          <w:spacing w:val="-1"/>
        </w:rPr>
        <w:t>ancillary support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to the area.</w:t>
      </w:r>
      <w:r>
        <w:rPr>
          <w:color w:val="1C1C1C"/>
          <w:spacing w:val="55"/>
        </w:rPr>
        <w:t xml:space="preserve"> </w:t>
      </w:r>
      <w:r>
        <w:rPr>
          <w:color w:val="1C1C1C"/>
        </w:rPr>
        <w:t>This</w:t>
      </w:r>
      <w:r>
        <w:rPr>
          <w:color w:val="1C1C1C"/>
          <w:spacing w:val="-1"/>
        </w:rPr>
        <w:t xml:space="preserve"> strategic</w:t>
      </w:r>
      <w:r>
        <w:rPr>
          <w:color w:val="1C1C1C"/>
          <w:spacing w:val="-4"/>
        </w:rPr>
        <w:t xml:space="preserve"> </w:t>
      </w:r>
      <w:r>
        <w:rPr>
          <w:color w:val="1C1C1C"/>
          <w:spacing w:val="-1"/>
        </w:rPr>
        <w:t>move</w:t>
      </w:r>
      <w:r>
        <w:rPr>
          <w:color w:val="1C1C1C"/>
          <w:spacing w:val="-3"/>
        </w:rPr>
        <w:t xml:space="preserve"> </w:t>
      </w:r>
      <w:r>
        <w:rPr>
          <w:color w:val="1C1C1C"/>
          <w:spacing w:val="-1"/>
        </w:rPr>
        <w:t>will</w:t>
      </w:r>
      <w:r>
        <w:rPr>
          <w:color w:val="1C1C1C"/>
        </w:rPr>
        <w:t xml:space="preserve"> </w:t>
      </w:r>
      <w:r>
        <w:rPr>
          <w:color w:val="1C1C1C"/>
          <w:spacing w:val="-1"/>
        </w:rPr>
        <w:t>enhance both</w:t>
      </w:r>
      <w:r>
        <w:rPr>
          <w:color w:val="1C1C1C"/>
          <w:spacing w:val="55"/>
        </w:rPr>
        <w:t xml:space="preserve"> </w:t>
      </w:r>
      <w:r>
        <w:rPr>
          <w:color w:val="1C1C1C"/>
          <w:spacing w:val="-2"/>
        </w:rPr>
        <w:t>businesses.”</w:t>
      </w:r>
    </w:p>
    <w:p w14:paraId="015CB908" w14:textId="77777777" w:rsidR="007B2253" w:rsidRDefault="007B2253">
      <w:pPr>
        <w:spacing w:before="3"/>
        <w:rPr>
          <w:rFonts w:ascii="Arial" w:eastAsia="Arial" w:hAnsi="Arial" w:cs="Arial"/>
          <w:sz w:val="24"/>
          <w:szCs w:val="24"/>
        </w:rPr>
      </w:pPr>
    </w:p>
    <w:p w14:paraId="5D332725" w14:textId="77777777" w:rsidR="007B2253" w:rsidRDefault="002538F7">
      <w:pPr>
        <w:pStyle w:val="BodyText"/>
        <w:spacing w:line="329" w:lineRule="auto"/>
        <w:ind w:right="1378"/>
      </w:pPr>
      <w:r>
        <w:rPr>
          <w:color w:val="1C1C1C"/>
        </w:rPr>
        <w:t>For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further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 xml:space="preserve">information </w:t>
      </w:r>
      <w:r>
        <w:rPr>
          <w:color w:val="1C1C1C"/>
        </w:rPr>
        <w:t>or</w:t>
      </w:r>
      <w:r>
        <w:rPr>
          <w:color w:val="1C1C1C"/>
          <w:spacing w:val="-4"/>
        </w:rPr>
        <w:t xml:space="preserve"> </w:t>
      </w:r>
      <w:r>
        <w:rPr>
          <w:color w:val="1C1C1C"/>
          <w:spacing w:val="-1"/>
        </w:rPr>
        <w:t>details about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this service facility please contact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Jeff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Hunter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 xml:space="preserve">at </w:t>
      </w:r>
      <w:r>
        <w:rPr>
          <w:color w:val="0563C1"/>
        </w:rPr>
        <w:t xml:space="preserve"> </w:t>
      </w:r>
      <w:hyperlink r:id="rId5">
        <w:r>
          <w:rPr>
            <w:color w:val="0563C1"/>
            <w:spacing w:val="-1"/>
            <w:u w:val="single" w:color="0563C1"/>
          </w:rPr>
          <w:t>JeffreyHunter@axon-es.com</w:t>
        </w:r>
      </w:hyperlink>
    </w:p>
    <w:p w14:paraId="0E719BF9" w14:textId="77777777" w:rsidR="007B2253" w:rsidRDefault="007B2253">
      <w:pPr>
        <w:rPr>
          <w:rFonts w:ascii="Arial" w:eastAsia="Arial" w:hAnsi="Arial" w:cs="Arial"/>
          <w:sz w:val="20"/>
          <w:szCs w:val="20"/>
        </w:rPr>
      </w:pPr>
    </w:p>
    <w:p w14:paraId="0D0B75EA" w14:textId="77777777" w:rsidR="007B2253" w:rsidRDefault="007B2253">
      <w:pPr>
        <w:spacing w:before="1"/>
        <w:rPr>
          <w:rFonts w:ascii="Arial" w:eastAsia="Arial" w:hAnsi="Arial" w:cs="Arial"/>
          <w:sz w:val="18"/>
          <w:szCs w:val="18"/>
        </w:rPr>
      </w:pPr>
    </w:p>
    <w:p w14:paraId="0BB73E12" w14:textId="77777777" w:rsidR="007B2253" w:rsidRDefault="002538F7">
      <w:pPr>
        <w:pStyle w:val="BodyText"/>
        <w:spacing w:before="74"/>
        <w:ind w:right="6893"/>
      </w:pPr>
      <w:r>
        <w:rPr>
          <w:color w:val="1C1C1C"/>
        </w:rPr>
        <w:t>The</w:t>
      </w:r>
      <w:r>
        <w:rPr>
          <w:color w:val="1C1C1C"/>
          <w:spacing w:val="-1"/>
        </w:rPr>
        <w:t xml:space="preserve"> facility </w:t>
      </w:r>
      <w:r>
        <w:rPr>
          <w:color w:val="1C1C1C"/>
        </w:rPr>
        <w:t>is</w:t>
      </w:r>
      <w:r>
        <w:rPr>
          <w:color w:val="1C1C1C"/>
          <w:spacing w:val="-4"/>
        </w:rPr>
        <w:t xml:space="preserve"> </w:t>
      </w:r>
      <w:r>
        <w:rPr>
          <w:color w:val="1C1C1C"/>
          <w:spacing w:val="-1"/>
        </w:rPr>
        <w:t>located:</w:t>
      </w:r>
      <w:r>
        <w:rPr>
          <w:color w:val="1C1C1C"/>
          <w:spacing w:val="27"/>
        </w:rPr>
        <w:t xml:space="preserve"> </w:t>
      </w:r>
      <w:r>
        <w:rPr>
          <w:color w:val="1C1C1C"/>
          <w:spacing w:val="-1"/>
        </w:rPr>
        <w:t>11200 W.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 xml:space="preserve">I-20 </w:t>
      </w:r>
      <w:r>
        <w:rPr>
          <w:color w:val="1C1C1C"/>
        </w:rPr>
        <w:t>East</w:t>
      </w:r>
    </w:p>
    <w:p w14:paraId="0FD4E486" w14:textId="77777777" w:rsidR="007B2253" w:rsidRDefault="002538F7">
      <w:pPr>
        <w:pStyle w:val="BodyText"/>
        <w:spacing w:line="240" w:lineRule="exact"/>
      </w:pPr>
      <w:r>
        <w:rPr>
          <w:color w:val="1C1C1C"/>
          <w:spacing w:val="-1"/>
        </w:rPr>
        <w:t>Odessa,</w:t>
      </w:r>
      <w:r>
        <w:rPr>
          <w:color w:val="1C1C1C"/>
          <w:spacing w:val="-2"/>
        </w:rPr>
        <w:t xml:space="preserve"> Texas</w:t>
      </w:r>
      <w:r>
        <w:rPr>
          <w:color w:val="1C1C1C"/>
          <w:spacing w:val="-1"/>
        </w:rPr>
        <w:t xml:space="preserve"> 79765</w:t>
      </w:r>
    </w:p>
    <w:p w14:paraId="754FB40E" w14:textId="77777777" w:rsidR="007B2253" w:rsidRDefault="002538F7">
      <w:pPr>
        <w:pStyle w:val="BodyText"/>
        <w:spacing w:before="1"/>
      </w:pPr>
      <w:r>
        <w:rPr>
          <w:color w:val="1C1C1C"/>
          <w:spacing w:val="-1"/>
        </w:rPr>
        <w:t>(432)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385-7690</w:t>
      </w:r>
    </w:p>
    <w:p w14:paraId="0DBB72F4" w14:textId="77777777" w:rsidR="007B2253" w:rsidRDefault="007B2253">
      <w:pPr>
        <w:rPr>
          <w:rFonts w:ascii="Arial" w:eastAsia="Arial" w:hAnsi="Arial" w:cs="Arial"/>
          <w:sz w:val="20"/>
          <w:szCs w:val="20"/>
        </w:rPr>
      </w:pPr>
    </w:p>
    <w:p w14:paraId="6B35A379" w14:textId="77777777" w:rsidR="007B2253" w:rsidRDefault="007B2253">
      <w:pPr>
        <w:spacing w:before="9"/>
        <w:rPr>
          <w:rFonts w:ascii="Arial" w:eastAsia="Arial" w:hAnsi="Arial" w:cs="Arial"/>
          <w:sz w:val="29"/>
          <w:szCs w:val="29"/>
        </w:rPr>
      </w:pPr>
    </w:p>
    <w:p w14:paraId="03CD58F0" w14:textId="6217F2BE" w:rsidR="007B2253" w:rsidRDefault="002538F7">
      <w:pPr>
        <w:pStyle w:val="Heading1"/>
        <w:ind w:left="237"/>
        <w:rPr>
          <w:b w:val="0"/>
          <w:bCs w:val="0"/>
        </w:rPr>
      </w:pPr>
      <w:r>
        <w:rPr>
          <w:color w:val="1C1C1C"/>
        </w:rPr>
        <w:t>A</w:t>
      </w:r>
      <w:r>
        <w:rPr>
          <w:color w:val="1C1C1C"/>
          <w:spacing w:val="-31"/>
        </w:rPr>
        <w:t xml:space="preserve"> </w:t>
      </w:r>
      <w:r>
        <w:rPr>
          <w:color w:val="1C1C1C"/>
          <w:spacing w:val="27"/>
        </w:rPr>
        <w:t>bou</w:t>
      </w:r>
      <w:r>
        <w:rPr>
          <w:color w:val="1C1C1C"/>
        </w:rPr>
        <w:t>t</w:t>
      </w:r>
      <w:r>
        <w:rPr>
          <w:color w:val="1C1C1C"/>
          <w:spacing w:val="50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-31"/>
        </w:rPr>
        <w:t xml:space="preserve"> </w:t>
      </w:r>
      <w:r>
        <w:rPr>
          <w:color w:val="1C1C1C"/>
        </w:rPr>
        <w:t>X</w:t>
      </w:r>
      <w:r>
        <w:rPr>
          <w:color w:val="1C1C1C"/>
          <w:spacing w:val="-32"/>
        </w:rPr>
        <w:t xml:space="preserve"> </w:t>
      </w:r>
      <w:r>
        <w:rPr>
          <w:color w:val="1C1C1C"/>
          <w:spacing w:val="12"/>
        </w:rPr>
        <w:t>ON</w:t>
      </w:r>
      <w:r>
        <w:rPr>
          <w:color w:val="1C1C1C"/>
          <w:spacing w:val="52"/>
        </w:rPr>
        <w:t xml:space="preserve"> </w:t>
      </w:r>
      <w:r>
        <w:rPr>
          <w:color w:val="1C1C1C"/>
        </w:rPr>
        <w:t>E</w:t>
      </w:r>
      <w:r>
        <w:rPr>
          <w:color w:val="1C1C1C"/>
          <w:spacing w:val="-32"/>
        </w:rPr>
        <w:t xml:space="preserve"> </w:t>
      </w:r>
      <w:proofErr w:type="spellStart"/>
      <w:r>
        <w:rPr>
          <w:color w:val="1C1C1C"/>
          <w:spacing w:val="19"/>
        </w:rPr>
        <w:t>nergy</w:t>
      </w:r>
      <w:proofErr w:type="spellEnd"/>
      <w:r>
        <w:rPr>
          <w:color w:val="1C1C1C"/>
          <w:spacing w:val="52"/>
        </w:rPr>
        <w:t xml:space="preserve"> </w:t>
      </w:r>
      <w:r>
        <w:rPr>
          <w:color w:val="1C1C1C"/>
        </w:rPr>
        <w:t>S</w:t>
      </w:r>
      <w:r>
        <w:rPr>
          <w:color w:val="1C1C1C"/>
          <w:spacing w:val="-32"/>
        </w:rPr>
        <w:t xml:space="preserve"> </w:t>
      </w:r>
      <w:proofErr w:type="spellStart"/>
      <w:r>
        <w:rPr>
          <w:color w:val="1C1C1C"/>
          <w:spacing w:val="25"/>
        </w:rPr>
        <w:t>e</w:t>
      </w:r>
      <w:r>
        <w:rPr>
          <w:color w:val="1C1C1C"/>
          <w:spacing w:val="26"/>
        </w:rPr>
        <w:t>r</w:t>
      </w:r>
      <w:r>
        <w:rPr>
          <w:color w:val="1C1C1C"/>
          <w:spacing w:val="25"/>
        </w:rPr>
        <w:t>v</w:t>
      </w:r>
      <w:r>
        <w:rPr>
          <w:color w:val="1C1C1C"/>
          <w:spacing w:val="26"/>
        </w:rPr>
        <w:t>ic</w:t>
      </w:r>
      <w:r>
        <w:rPr>
          <w:color w:val="1C1C1C"/>
        </w:rPr>
        <w:t>es</w:t>
      </w:r>
      <w:proofErr w:type="spellEnd"/>
      <w:r>
        <w:rPr>
          <w:color w:val="1C1C1C"/>
          <w:spacing w:val="-32"/>
        </w:rPr>
        <w:t xml:space="preserve"> </w:t>
      </w:r>
    </w:p>
    <w:p w14:paraId="77D9ABF4" w14:textId="77777777" w:rsidR="007B2253" w:rsidRDefault="007B225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4A69564" w14:textId="77777777" w:rsidR="007B2253" w:rsidRDefault="007B2253">
      <w:pPr>
        <w:spacing w:before="10"/>
        <w:rPr>
          <w:rFonts w:ascii="Arial" w:eastAsia="Arial" w:hAnsi="Arial" w:cs="Arial"/>
          <w:b/>
          <w:bCs/>
          <w:sz w:val="26"/>
          <w:szCs w:val="26"/>
        </w:rPr>
      </w:pPr>
    </w:p>
    <w:p w14:paraId="35BE10F2" w14:textId="77777777" w:rsidR="007B2253" w:rsidRDefault="002538F7">
      <w:pPr>
        <w:pStyle w:val="BodyText"/>
        <w:tabs>
          <w:tab w:val="left" w:pos="6995"/>
        </w:tabs>
        <w:spacing w:line="328" w:lineRule="auto"/>
        <w:ind w:right="238"/>
      </w:pPr>
      <w:r>
        <w:rPr>
          <w:color w:val="1C1C1C"/>
          <w:spacing w:val="-1"/>
        </w:rPr>
        <w:t>Headquartered in Houston,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Texas,</w:t>
      </w:r>
      <w:r>
        <w:rPr>
          <w:color w:val="1C1C1C"/>
          <w:spacing w:val="55"/>
        </w:rPr>
        <w:t xml:space="preserve"> </w:t>
      </w:r>
      <w:r>
        <w:rPr>
          <w:color w:val="1C1C1C"/>
          <w:spacing w:val="-1"/>
        </w:rPr>
        <w:t>AXON</w:t>
      </w:r>
      <w:r>
        <w:rPr>
          <w:color w:val="1C1C1C"/>
          <w:spacing w:val="-3"/>
        </w:rPr>
        <w:t xml:space="preserve"> </w:t>
      </w:r>
      <w:r>
        <w:rPr>
          <w:color w:val="1C1C1C"/>
          <w:spacing w:val="-1"/>
        </w:rPr>
        <w:t>Energy</w:t>
      </w:r>
      <w:r>
        <w:rPr>
          <w:color w:val="1C1C1C"/>
          <w:spacing w:val="-4"/>
        </w:rPr>
        <w:t xml:space="preserve"> </w:t>
      </w:r>
      <w:r>
        <w:rPr>
          <w:color w:val="1C1C1C"/>
          <w:spacing w:val="-1"/>
        </w:rPr>
        <w:t>Services</w:t>
      </w:r>
      <w:r>
        <w:rPr>
          <w:color w:val="1C1C1C"/>
          <w:spacing w:val="-4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-1"/>
        </w:rPr>
        <w:t xml:space="preserve"> leading </w:t>
      </w:r>
      <w:r>
        <w:rPr>
          <w:color w:val="1C1C1C"/>
          <w:spacing w:val="-2"/>
        </w:rPr>
        <w:t xml:space="preserve">OEM </w:t>
      </w:r>
      <w:r>
        <w:rPr>
          <w:color w:val="1C1C1C"/>
          <w:spacing w:val="-1"/>
        </w:rPr>
        <w:t>specializing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in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-3"/>
        </w:rPr>
        <w:t xml:space="preserve"> </w:t>
      </w:r>
      <w:r>
        <w:rPr>
          <w:color w:val="1C1C1C"/>
          <w:spacing w:val="-1"/>
        </w:rPr>
        <w:t>wide</w:t>
      </w:r>
      <w:r>
        <w:rPr>
          <w:color w:val="1C1C1C"/>
          <w:spacing w:val="65"/>
        </w:rPr>
        <w:t xml:space="preserve"> </w:t>
      </w:r>
      <w:r>
        <w:rPr>
          <w:color w:val="1C1C1C"/>
          <w:spacing w:val="-1"/>
        </w:rPr>
        <w:t xml:space="preserve">range </w:t>
      </w:r>
      <w:r>
        <w:rPr>
          <w:color w:val="1C1C1C"/>
        </w:rPr>
        <w:t>of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API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Certified pressure products for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surface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-1"/>
        </w:rPr>
        <w:t xml:space="preserve"> subsea applications including BOPs,</w:t>
      </w:r>
      <w:r>
        <w:rPr>
          <w:color w:val="1C1C1C"/>
          <w:spacing w:val="-2"/>
        </w:rPr>
        <w:t xml:space="preserve"> BOP</w:t>
      </w:r>
      <w:r>
        <w:rPr>
          <w:color w:val="1C1C1C"/>
          <w:spacing w:val="55"/>
        </w:rPr>
        <w:t xml:space="preserve"> </w:t>
      </w:r>
      <w:r>
        <w:rPr>
          <w:color w:val="1C1C1C"/>
          <w:spacing w:val="-1"/>
        </w:rPr>
        <w:t>Controls,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 xml:space="preserve">Choke </w:t>
      </w:r>
      <w:r>
        <w:rPr>
          <w:color w:val="1C1C1C"/>
        </w:rPr>
        <w:t xml:space="preserve">&amp; </w:t>
      </w:r>
      <w:r>
        <w:rPr>
          <w:color w:val="1C1C1C"/>
          <w:spacing w:val="-1"/>
        </w:rPr>
        <w:t>Kill</w:t>
      </w:r>
      <w:r>
        <w:rPr>
          <w:color w:val="1C1C1C"/>
        </w:rPr>
        <w:t xml:space="preserve"> </w:t>
      </w:r>
      <w:r>
        <w:rPr>
          <w:color w:val="1C1C1C"/>
          <w:spacing w:val="-1"/>
        </w:rPr>
        <w:t>Manifolds,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Connectors,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Diverters,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Tandem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boosters,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Elastomers and</w:t>
      </w:r>
      <w:r>
        <w:rPr>
          <w:color w:val="1C1C1C"/>
          <w:spacing w:val="43"/>
        </w:rPr>
        <w:t xml:space="preserve"> </w:t>
      </w:r>
      <w:r>
        <w:rPr>
          <w:color w:val="1C1C1C"/>
          <w:spacing w:val="-1"/>
        </w:rPr>
        <w:t>Aftermarket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Services.</w:t>
      </w:r>
      <w:r>
        <w:rPr>
          <w:color w:val="1C1C1C"/>
          <w:spacing w:val="55"/>
        </w:rPr>
        <w:t xml:space="preserve"> </w:t>
      </w:r>
      <w:r>
        <w:rPr>
          <w:color w:val="1C1C1C"/>
          <w:spacing w:val="-1"/>
        </w:rPr>
        <w:t>AXON</w:t>
      </w:r>
      <w:r>
        <w:rPr>
          <w:color w:val="1C1C1C"/>
        </w:rPr>
        <w:t xml:space="preserve"> </w:t>
      </w:r>
      <w:r>
        <w:rPr>
          <w:color w:val="1C1C1C"/>
          <w:spacing w:val="-1"/>
        </w:rPr>
        <w:t>products are</w:t>
      </w:r>
      <w:r>
        <w:rPr>
          <w:color w:val="1C1C1C"/>
          <w:spacing w:val="-3"/>
        </w:rPr>
        <w:t xml:space="preserve"> </w:t>
      </w:r>
      <w:r>
        <w:rPr>
          <w:color w:val="1C1C1C"/>
          <w:spacing w:val="-1"/>
        </w:rPr>
        <w:t xml:space="preserve">manufactured </w:t>
      </w:r>
      <w:r>
        <w:rPr>
          <w:color w:val="1C1C1C"/>
        </w:rPr>
        <w:t>in</w:t>
      </w:r>
      <w:r>
        <w:rPr>
          <w:color w:val="1C1C1C"/>
          <w:spacing w:val="-1"/>
        </w:rPr>
        <w:t xml:space="preserve"> the</w:t>
      </w:r>
      <w:r>
        <w:rPr>
          <w:color w:val="1C1C1C"/>
          <w:spacing w:val="-3"/>
        </w:rPr>
        <w:t xml:space="preserve"> </w:t>
      </w:r>
      <w:r>
        <w:rPr>
          <w:color w:val="1C1C1C"/>
          <w:spacing w:val="-1"/>
        </w:rPr>
        <w:t>U.S.A.</w:t>
      </w:r>
      <w:r>
        <w:rPr>
          <w:color w:val="1C1C1C"/>
          <w:spacing w:val="-1"/>
        </w:rPr>
        <w:tab/>
      </w:r>
      <w:hyperlink r:id="rId6">
        <w:r>
          <w:rPr>
            <w:color w:val="0563C1"/>
            <w:spacing w:val="-1"/>
            <w:u w:val="single" w:color="0563C1"/>
          </w:rPr>
          <w:t>www.axon-es.com</w:t>
        </w:r>
      </w:hyperlink>
    </w:p>
    <w:p w14:paraId="579CD1E1" w14:textId="77777777" w:rsidR="007B2253" w:rsidRDefault="007B2253">
      <w:pPr>
        <w:rPr>
          <w:rFonts w:ascii="Arial" w:eastAsia="Arial" w:hAnsi="Arial" w:cs="Arial"/>
          <w:sz w:val="20"/>
          <w:szCs w:val="20"/>
        </w:rPr>
      </w:pPr>
    </w:p>
    <w:p w14:paraId="362C86E5" w14:textId="77777777" w:rsidR="007B2253" w:rsidRDefault="007B2253">
      <w:pPr>
        <w:spacing w:before="7"/>
        <w:rPr>
          <w:rFonts w:ascii="Arial" w:eastAsia="Arial" w:hAnsi="Arial" w:cs="Arial"/>
          <w:sz w:val="26"/>
          <w:szCs w:val="26"/>
        </w:rPr>
      </w:pPr>
    </w:p>
    <w:p w14:paraId="653FD715" w14:textId="77777777" w:rsidR="007B2253" w:rsidRDefault="002538F7">
      <w:pPr>
        <w:pStyle w:val="Heading1"/>
        <w:spacing w:before="74"/>
        <w:rPr>
          <w:b w:val="0"/>
          <w:bCs w:val="0"/>
        </w:rPr>
      </w:pPr>
      <w:r>
        <w:rPr>
          <w:color w:val="1C1C1C"/>
        </w:rPr>
        <w:t>A</w:t>
      </w:r>
      <w:r>
        <w:rPr>
          <w:color w:val="1C1C1C"/>
          <w:spacing w:val="-31"/>
        </w:rPr>
        <w:t xml:space="preserve"> </w:t>
      </w:r>
      <w:r>
        <w:rPr>
          <w:color w:val="1C1C1C"/>
          <w:spacing w:val="27"/>
        </w:rPr>
        <w:t>bou</w:t>
      </w:r>
      <w:r>
        <w:rPr>
          <w:color w:val="1C1C1C"/>
        </w:rPr>
        <w:t>t</w:t>
      </w:r>
      <w:r>
        <w:rPr>
          <w:color w:val="1C1C1C"/>
          <w:spacing w:val="50"/>
        </w:rPr>
        <w:t xml:space="preserve"> </w:t>
      </w:r>
      <w:r>
        <w:rPr>
          <w:color w:val="1C1C1C"/>
          <w:spacing w:val="13"/>
        </w:rPr>
        <w:t>Pe</w:t>
      </w:r>
      <w:r>
        <w:rPr>
          <w:color w:val="1C1C1C"/>
          <w:spacing w:val="-32"/>
        </w:rPr>
        <w:t xml:space="preserve"> </w:t>
      </w:r>
      <w:r>
        <w:rPr>
          <w:color w:val="1C1C1C"/>
        </w:rPr>
        <w:t>r</w:t>
      </w:r>
      <w:r>
        <w:rPr>
          <w:color w:val="1C1C1C"/>
          <w:spacing w:val="-33"/>
        </w:rPr>
        <w:t xml:space="preserve"> </w:t>
      </w:r>
      <w:r>
        <w:rPr>
          <w:color w:val="1C1C1C"/>
          <w:spacing w:val="25"/>
        </w:rPr>
        <w:t>f</w:t>
      </w:r>
      <w:r>
        <w:rPr>
          <w:color w:val="1C1C1C"/>
          <w:spacing w:val="27"/>
        </w:rPr>
        <w:t>o</w:t>
      </w:r>
      <w:r>
        <w:rPr>
          <w:color w:val="1C1C1C"/>
          <w:spacing w:val="25"/>
        </w:rPr>
        <w:t>rm</w:t>
      </w:r>
      <w:r>
        <w:rPr>
          <w:color w:val="1C1C1C"/>
        </w:rPr>
        <w:t>a</w:t>
      </w:r>
      <w:r>
        <w:rPr>
          <w:color w:val="1C1C1C"/>
          <w:spacing w:val="-32"/>
        </w:rPr>
        <w:t xml:space="preserve"> </w:t>
      </w:r>
      <w:proofErr w:type="spellStart"/>
      <w:r>
        <w:rPr>
          <w:color w:val="1C1C1C"/>
          <w:spacing w:val="13"/>
        </w:rPr>
        <w:t>nc</w:t>
      </w:r>
      <w:proofErr w:type="spellEnd"/>
      <w:r>
        <w:rPr>
          <w:color w:val="1C1C1C"/>
          <w:spacing w:val="-32"/>
        </w:rPr>
        <w:t xml:space="preserve"> </w:t>
      </w:r>
      <w:r>
        <w:rPr>
          <w:color w:val="1C1C1C"/>
        </w:rPr>
        <w:t>e</w:t>
      </w:r>
      <w:r>
        <w:rPr>
          <w:color w:val="1C1C1C"/>
          <w:spacing w:val="49"/>
        </w:rPr>
        <w:t xml:space="preserve"> </w:t>
      </w:r>
      <w:r>
        <w:rPr>
          <w:color w:val="1C1C1C"/>
        </w:rPr>
        <w:t>W</w:t>
      </w:r>
      <w:r>
        <w:rPr>
          <w:color w:val="1C1C1C"/>
          <w:spacing w:val="-33"/>
        </w:rPr>
        <w:t xml:space="preserve"> </w:t>
      </w:r>
      <w:r>
        <w:rPr>
          <w:color w:val="1C1C1C"/>
        </w:rPr>
        <w:t>e</w:t>
      </w:r>
      <w:r>
        <w:rPr>
          <w:color w:val="1C1C1C"/>
          <w:spacing w:val="-32"/>
        </w:rPr>
        <w:t xml:space="preserve"> </w:t>
      </w:r>
      <w:r>
        <w:rPr>
          <w:color w:val="1C1C1C"/>
        </w:rPr>
        <w:t>l</w:t>
      </w:r>
      <w:r>
        <w:rPr>
          <w:color w:val="1C1C1C"/>
          <w:spacing w:val="-34"/>
        </w:rPr>
        <w:t xml:space="preserve"> </w:t>
      </w:r>
      <w:proofErr w:type="spellStart"/>
      <w:r>
        <w:rPr>
          <w:color w:val="1C1C1C"/>
          <w:spacing w:val="17"/>
        </w:rPr>
        <w:t>lhe</w:t>
      </w:r>
      <w:proofErr w:type="spellEnd"/>
      <w:r>
        <w:rPr>
          <w:color w:val="1C1C1C"/>
          <w:spacing w:val="-32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-32"/>
        </w:rPr>
        <w:t xml:space="preserve"> </w:t>
      </w:r>
      <w:r>
        <w:rPr>
          <w:color w:val="1C1C1C"/>
        </w:rPr>
        <w:t>d</w:t>
      </w:r>
      <w:r>
        <w:rPr>
          <w:color w:val="1C1C1C"/>
          <w:spacing w:val="53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-32"/>
        </w:rPr>
        <w:t xml:space="preserve"> </w:t>
      </w:r>
      <w:proofErr w:type="spellStart"/>
      <w:r>
        <w:rPr>
          <w:color w:val="1C1C1C"/>
          <w:spacing w:val="13"/>
        </w:rPr>
        <w:t>nd</w:t>
      </w:r>
      <w:proofErr w:type="spellEnd"/>
      <w:r>
        <w:rPr>
          <w:color w:val="1C1C1C"/>
          <w:spacing w:val="52"/>
        </w:rPr>
        <w:t xml:space="preserve"> </w:t>
      </w:r>
      <w:r>
        <w:rPr>
          <w:color w:val="1C1C1C"/>
          <w:spacing w:val="17"/>
        </w:rPr>
        <w:t>Fra</w:t>
      </w:r>
      <w:r>
        <w:rPr>
          <w:color w:val="1C1C1C"/>
          <w:spacing w:val="-32"/>
        </w:rPr>
        <w:t xml:space="preserve"> </w:t>
      </w:r>
      <w:r>
        <w:rPr>
          <w:color w:val="1C1C1C"/>
        </w:rPr>
        <w:t>c</w:t>
      </w:r>
      <w:r>
        <w:rPr>
          <w:color w:val="1C1C1C"/>
          <w:spacing w:val="54"/>
        </w:rPr>
        <w:t xml:space="preserve"> </w:t>
      </w:r>
      <w:proofErr w:type="spellStart"/>
      <w:r>
        <w:rPr>
          <w:color w:val="1C1C1C"/>
        </w:rPr>
        <w:t>C</w:t>
      </w:r>
      <w:proofErr w:type="spellEnd"/>
      <w:r>
        <w:rPr>
          <w:color w:val="1C1C1C"/>
          <w:spacing w:val="-31"/>
        </w:rPr>
        <w:t xml:space="preserve"> </w:t>
      </w:r>
      <w:proofErr w:type="spellStart"/>
      <w:r>
        <w:rPr>
          <w:color w:val="1C1C1C"/>
          <w:spacing w:val="27"/>
        </w:rPr>
        <w:t>o</w:t>
      </w:r>
      <w:r>
        <w:rPr>
          <w:color w:val="1C1C1C"/>
          <w:spacing w:val="25"/>
        </w:rPr>
        <w:t>m</w:t>
      </w:r>
      <w:r>
        <w:rPr>
          <w:color w:val="1C1C1C"/>
          <w:spacing w:val="27"/>
        </w:rPr>
        <w:t>pon</w:t>
      </w:r>
      <w:r>
        <w:rPr>
          <w:color w:val="1C1C1C"/>
        </w:rPr>
        <w:t>e</w:t>
      </w:r>
      <w:proofErr w:type="spellEnd"/>
      <w:r>
        <w:rPr>
          <w:color w:val="1C1C1C"/>
          <w:spacing w:val="-32"/>
        </w:rPr>
        <w:t xml:space="preserve"> </w:t>
      </w:r>
      <w:proofErr w:type="spellStart"/>
      <w:r>
        <w:rPr>
          <w:color w:val="1C1C1C"/>
          <w:spacing w:val="17"/>
        </w:rPr>
        <w:t>nts</w:t>
      </w:r>
      <w:proofErr w:type="spellEnd"/>
      <w:r>
        <w:rPr>
          <w:color w:val="1C1C1C"/>
          <w:spacing w:val="-32"/>
        </w:rPr>
        <w:t xml:space="preserve"> </w:t>
      </w:r>
      <w:r>
        <w:rPr>
          <w:color w:val="1C1C1C"/>
        </w:rPr>
        <w:t>,</w:t>
      </w:r>
      <w:r>
        <w:rPr>
          <w:color w:val="1C1C1C"/>
          <w:spacing w:val="51"/>
        </w:rPr>
        <w:t xml:space="preserve"> </w:t>
      </w:r>
      <w:r>
        <w:rPr>
          <w:color w:val="1C1C1C"/>
          <w:spacing w:val="18"/>
        </w:rPr>
        <w:t>LLC</w:t>
      </w:r>
      <w:r>
        <w:rPr>
          <w:color w:val="1C1C1C"/>
          <w:spacing w:val="-32"/>
        </w:rPr>
        <w:t xml:space="preserve"> </w:t>
      </w:r>
    </w:p>
    <w:p w14:paraId="5D2B1CF0" w14:textId="77777777" w:rsidR="007B2253" w:rsidRDefault="007B225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021AFF" w14:textId="77777777" w:rsidR="007B2253" w:rsidRDefault="007B2253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14:paraId="1DD2937D" w14:textId="77777777" w:rsidR="007B2253" w:rsidRDefault="002538F7">
      <w:pPr>
        <w:pStyle w:val="BodyText"/>
        <w:spacing w:line="360" w:lineRule="auto"/>
        <w:ind w:right="238"/>
      </w:pPr>
      <w:r>
        <w:rPr>
          <w:spacing w:val="-1"/>
        </w:rPr>
        <w:t>Headquartered in Houston,</w:t>
      </w:r>
      <w:r>
        <w:rPr>
          <w:spacing w:val="-2"/>
        </w:rPr>
        <w:t xml:space="preserve"> </w:t>
      </w:r>
      <w:r>
        <w:rPr>
          <w:spacing w:val="-1"/>
        </w:rPr>
        <w:t>Texas,</w:t>
      </w:r>
      <w:r>
        <w:rPr>
          <w:spacing w:val="-2"/>
        </w:rPr>
        <w:t xml:space="preserve"> </w:t>
      </w:r>
      <w:r>
        <w:rPr>
          <w:spacing w:val="-1"/>
        </w:rPr>
        <w:t xml:space="preserve">Performance Wellhead </w:t>
      </w:r>
      <w:r>
        <w:t xml:space="preserve">&amp; </w:t>
      </w:r>
      <w:r>
        <w:rPr>
          <w:spacing w:val="-1"/>
        </w:rPr>
        <w:t>Frac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 xml:space="preserve">leading </w:t>
      </w:r>
      <w:r>
        <w:t xml:space="preserve">oil </w:t>
      </w:r>
      <w:r>
        <w:rPr>
          <w:spacing w:val="-1"/>
        </w:rPr>
        <w:t>and gas service</w:t>
      </w:r>
      <w:r>
        <w:rPr>
          <w:spacing w:val="39"/>
        </w:rPr>
        <w:t xml:space="preserve"> </w:t>
      </w:r>
      <w:r>
        <w:rPr>
          <w:spacing w:val="-1"/>
        </w:rPr>
        <w:t>company specializing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surface well-control</w:t>
      </w:r>
      <w: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related field </w:t>
      </w:r>
      <w:r>
        <w:rPr>
          <w:spacing w:val="-2"/>
        </w:rPr>
        <w:t>services</w:t>
      </w:r>
      <w:r>
        <w:rPr>
          <w:spacing w:val="-1"/>
        </w:rPr>
        <w:t xml:space="preserve"> utilized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all</w:t>
      </w:r>
    </w:p>
    <w:p w14:paraId="3270D6A3" w14:textId="77777777" w:rsidR="007B2253" w:rsidRDefault="007B2253">
      <w:pPr>
        <w:spacing w:line="360" w:lineRule="auto"/>
        <w:sectPr w:rsidR="007B2253">
          <w:type w:val="continuous"/>
          <w:pgSz w:w="12240" w:h="15840"/>
          <w:pgMar w:top="180" w:right="1360" w:bottom="280" w:left="1260" w:header="720" w:footer="720" w:gutter="0"/>
          <w:cols w:space="720"/>
        </w:sectPr>
      </w:pPr>
    </w:p>
    <w:p w14:paraId="2DE6F5D8" w14:textId="77777777" w:rsidR="007B2253" w:rsidRDefault="002538F7">
      <w:pPr>
        <w:pStyle w:val="BodyText"/>
        <w:spacing w:before="3"/>
      </w:pPr>
      <w:r>
        <w:rPr>
          <w:spacing w:val="-1"/>
        </w:rPr>
        <w:t xml:space="preserve">phases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drilling,</w:t>
      </w:r>
      <w:r>
        <w:rPr>
          <w:spacing w:val="-2"/>
        </w:rPr>
        <w:t xml:space="preserve"> </w:t>
      </w:r>
      <w:r>
        <w:rPr>
          <w:spacing w:val="-1"/>
        </w:rPr>
        <w:t>well-stimulation,</w:t>
      </w:r>
      <w:r>
        <w:rPr>
          <w:spacing w:val="-2"/>
        </w:rPr>
        <w:t xml:space="preserve"> </w:t>
      </w:r>
      <w:r>
        <w:rPr>
          <w:spacing w:val="-1"/>
        </w:rPr>
        <w:t>production,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intervention operations.</w:t>
      </w:r>
    </w:p>
    <w:p w14:paraId="10723604" w14:textId="77777777" w:rsidR="007B2253" w:rsidRDefault="007B2253">
      <w:pPr>
        <w:rPr>
          <w:rFonts w:ascii="Arial" w:eastAsia="Arial" w:hAnsi="Arial" w:cs="Arial"/>
          <w:sz w:val="20"/>
          <w:szCs w:val="20"/>
        </w:rPr>
      </w:pPr>
    </w:p>
    <w:p w14:paraId="088EE311" w14:textId="77777777" w:rsidR="007B2253" w:rsidRDefault="002538F7">
      <w:pPr>
        <w:pStyle w:val="BodyText"/>
        <w:spacing w:before="127"/>
        <w:ind w:left="4556"/>
      </w:pPr>
      <w:r>
        <w:t>###</w:t>
      </w:r>
      <w:bookmarkStart w:id="0" w:name="_GoBack"/>
      <w:bookmarkEnd w:id="0"/>
    </w:p>
    <w:p w14:paraId="6CA9ABB6" w14:textId="77777777" w:rsidR="007B2253" w:rsidRDefault="002538F7">
      <w:pPr>
        <w:spacing w:line="228" w:lineRule="exact"/>
        <w:ind w:left="180"/>
        <w:rPr>
          <w:rFonts w:ascii="Arial" w:eastAsia="Arial" w:hAnsi="Arial" w:cs="Arial"/>
          <w:sz w:val="20"/>
          <w:szCs w:val="20"/>
        </w:rPr>
      </w:pPr>
      <w:r>
        <w:br w:type="column"/>
      </w:r>
      <w:hyperlink r:id="rId7">
        <w:r>
          <w:rPr>
            <w:rFonts w:ascii="Arial"/>
            <w:color w:val="0000FF"/>
            <w:sz w:val="20"/>
          </w:rPr>
          <w:t>www.pwfrac.com</w:t>
        </w:r>
      </w:hyperlink>
    </w:p>
    <w:sectPr w:rsidR="007B2253">
      <w:type w:val="continuous"/>
      <w:pgSz w:w="12240" w:h="15840"/>
      <w:pgMar w:top="180" w:right="1360" w:bottom="280" w:left="1260" w:header="720" w:footer="720" w:gutter="0"/>
      <w:cols w:num="2" w:space="720" w:equalWidth="0">
        <w:col w:w="7119" w:space="188"/>
        <w:col w:w="231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2253"/>
    <w:rsid w:val="002538F7"/>
    <w:rsid w:val="007B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4CA2B"/>
  <w15:docId w15:val="{4A4224AF-EC74-400F-A7CD-D88FFF393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80"/>
      <w:outlineLvl w:val="0"/>
    </w:pPr>
    <w:rPr>
      <w:rFonts w:ascii="Arial" w:eastAsia="Arial" w:hAnsi="Arial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80"/>
    </w:pPr>
    <w:rPr>
      <w:rFonts w:ascii="Arial" w:eastAsia="Arial" w:hAnsi="Arial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wfrac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xon-es.com/" TargetMode="External"/><Relationship Id="rId5" Type="http://schemas.openxmlformats.org/officeDocument/2006/relationships/hyperlink" Target="mailto:JeffreyHunter@axon-es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1775</Characters>
  <Application>Microsoft Office Word</Application>
  <DocSecurity>0</DocSecurity>
  <Lines>14</Lines>
  <Paragraphs>4</Paragraphs>
  <ScaleCrop>false</ScaleCrop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McDonald</dc:creator>
  <cp:lastModifiedBy>Deborah McDonald</cp:lastModifiedBy>
  <cp:revision>2</cp:revision>
  <dcterms:created xsi:type="dcterms:W3CDTF">2020-03-05T14:36:00Z</dcterms:created>
  <dcterms:modified xsi:type="dcterms:W3CDTF">2020-03-05T20:37:00Z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2020-03-05T00:00:00Z</vt:filetime>
  </property>
  <property fmtid="{D5CDD505-2E9C-101B-9397-08002B2CF9AE}" pid="3" name="LastSaved">
    <vt:filetime>2020-03-05T00:00:00Z</vt:filetime>
  </property>
</Properties>
</file>