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51ADF" w14:textId="77777777" w:rsidR="002F4F44" w:rsidRDefault="002F4F44" w:rsidP="002F4F44">
      <w:pPr>
        <w:pStyle w:val="NormalWeb"/>
        <w:shd w:val="clear" w:color="auto" w:fill="FFFFFF"/>
        <w:spacing w:before="0" w:beforeAutospacing="0" w:after="0" w:afterAutospacing="0"/>
        <w:textAlignment w:val="baseline"/>
        <w:rPr>
          <w:rFonts w:ascii="Arial" w:hAnsi="Arial" w:cs="Arial"/>
          <w:b/>
          <w:bCs/>
          <w:color w:val="000000"/>
          <w:sz w:val="28"/>
          <w:szCs w:val="28"/>
          <w:bdr w:val="none" w:sz="0" w:space="0" w:color="auto" w:frame="1"/>
        </w:rPr>
      </w:pPr>
      <w:proofErr w:type="spellStart"/>
      <w:r>
        <w:rPr>
          <w:rFonts w:ascii="Arial" w:hAnsi="Arial" w:cs="Arial"/>
          <w:b/>
          <w:bCs/>
          <w:color w:val="201F1E"/>
          <w:sz w:val="28"/>
          <w:szCs w:val="28"/>
          <w:bdr w:val="none" w:sz="0" w:space="0" w:color="auto" w:frame="1"/>
        </w:rPr>
        <w:t>Credio</w:t>
      </w:r>
      <w:proofErr w:type="spellEnd"/>
      <w:r>
        <w:rPr>
          <w:rFonts w:ascii="Arial" w:hAnsi="Arial" w:cs="Arial"/>
          <w:b/>
          <w:bCs/>
          <w:color w:val="201F1E"/>
          <w:sz w:val="28"/>
          <w:szCs w:val="28"/>
          <w:bdr w:val="none" w:sz="0" w:space="0" w:color="auto" w:frame="1"/>
        </w:rPr>
        <w:t>, Inc. Receives Accreditation </w:t>
      </w:r>
      <w:r>
        <w:rPr>
          <w:rFonts w:ascii="Arial" w:hAnsi="Arial" w:cs="Arial"/>
          <w:b/>
          <w:bCs/>
          <w:color w:val="000000"/>
          <w:sz w:val="28"/>
          <w:szCs w:val="28"/>
          <w:bdr w:val="none" w:sz="0" w:space="0" w:color="auto" w:frame="1"/>
        </w:rPr>
        <w:t>ISO/IEC 17020 Accreditation</w:t>
      </w:r>
    </w:p>
    <w:p w14:paraId="27B99FED" w14:textId="3EA7506C" w:rsidR="002F4F44" w:rsidRDefault="002F4F44" w:rsidP="002F4F44">
      <w:pPr>
        <w:pStyle w:val="NormalWeb"/>
        <w:shd w:val="clear" w:color="auto" w:fill="FFFFFF"/>
        <w:spacing w:before="0" w:beforeAutospacing="0" w:after="0" w:afterAutospacing="0"/>
        <w:jc w:val="center"/>
        <w:textAlignment w:val="baseline"/>
        <w:rPr>
          <w:rFonts w:ascii="Calibri" w:hAnsi="Calibri" w:cs="Calibri"/>
          <w:color w:val="201F1E"/>
          <w:sz w:val="22"/>
          <w:szCs w:val="22"/>
        </w:rPr>
      </w:pPr>
      <w:r>
        <w:rPr>
          <w:rFonts w:ascii="Arial" w:hAnsi="Arial" w:cs="Arial"/>
          <w:color w:val="000000"/>
          <w:sz w:val="28"/>
          <w:szCs w:val="28"/>
          <w:bdr w:val="none" w:sz="0" w:space="0" w:color="auto" w:frame="1"/>
        </w:rPr>
        <w:t> </w:t>
      </w:r>
    </w:p>
    <w:p w14:paraId="17391361" w14:textId="719D67E2" w:rsidR="002F4F44" w:rsidRDefault="002F4F44" w:rsidP="002F4F44">
      <w:pPr>
        <w:pStyle w:val="NormalWeb"/>
        <w:shd w:val="clear" w:color="auto" w:fill="FFFFFF"/>
        <w:spacing w:before="0" w:beforeAutospacing="0" w:after="0" w:afterAutospacing="0"/>
        <w:textAlignment w:val="baseline"/>
        <w:rPr>
          <w:rFonts w:ascii="Calibri" w:hAnsi="Calibri" w:cs="Calibri"/>
          <w:color w:val="201F1E"/>
          <w:sz w:val="22"/>
          <w:szCs w:val="22"/>
        </w:rPr>
      </w:pPr>
      <w:proofErr w:type="spellStart"/>
      <w:r>
        <w:rPr>
          <w:rFonts w:ascii="Tahoma" w:hAnsi="Tahoma" w:cs="Tahoma"/>
          <w:color w:val="000000"/>
          <w:sz w:val="21"/>
          <w:szCs w:val="21"/>
          <w:bdr w:val="none" w:sz="0" w:space="0" w:color="auto" w:frame="1"/>
          <w:shd w:val="clear" w:color="auto" w:fill="FFFFFF"/>
        </w:rPr>
        <w:t>Credio</w:t>
      </w:r>
      <w:proofErr w:type="spellEnd"/>
      <w:r>
        <w:rPr>
          <w:rFonts w:ascii="Tahoma" w:hAnsi="Tahoma" w:cs="Tahoma"/>
          <w:color w:val="000000"/>
          <w:sz w:val="21"/>
          <w:szCs w:val="21"/>
          <w:bdr w:val="none" w:sz="0" w:space="0" w:color="auto" w:frame="1"/>
          <w:shd w:val="clear" w:color="auto" w:fill="FFFFFF"/>
        </w:rPr>
        <w:t xml:space="preserve">, Inc. is pleased to announce that it has received accreditation status from the American Association for Laboratory Accreditation (A2LA) for </w:t>
      </w:r>
      <w:proofErr w:type="spellStart"/>
      <w:r>
        <w:rPr>
          <w:rFonts w:ascii="Tahoma" w:hAnsi="Tahoma" w:cs="Tahoma"/>
          <w:color w:val="000000"/>
          <w:sz w:val="21"/>
          <w:szCs w:val="21"/>
          <w:bdr w:val="none" w:sz="0" w:space="0" w:color="auto" w:frame="1"/>
          <w:shd w:val="clear" w:color="auto" w:fill="FFFFFF"/>
        </w:rPr>
        <w:t>thier</w:t>
      </w:r>
      <w:proofErr w:type="spellEnd"/>
      <w:r>
        <w:rPr>
          <w:rFonts w:ascii="Tahoma" w:hAnsi="Tahoma" w:cs="Tahoma"/>
          <w:color w:val="000000"/>
          <w:sz w:val="21"/>
          <w:szCs w:val="21"/>
          <w:bdr w:val="none" w:sz="0" w:space="0" w:color="auto" w:frame="1"/>
          <w:shd w:val="clear" w:color="auto" w:fill="FFFFFF"/>
        </w:rPr>
        <w:t> ISO/IEC 17020:2012 standards, demonstrating </w:t>
      </w:r>
      <w:proofErr w:type="spellStart"/>
      <w:r>
        <w:rPr>
          <w:rFonts w:ascii="Tahoma" w:hAnsi="Tahoma" w:cs="Tahoma"/>
          <w:color w:val="000000"/>
          <w:sz w:val="21"/>
          <w:szCs w:val="21"/>
          <w:bdr w:val="none" w:sz="0" w:space="0" w:color="auto" w:frame="1"/>
          <w:shd w:val="clear" w:color="auto" w:fill="FFFFFF"/>
        </w:rPr>
        <w:t>Credio’s</w:t>
      </w:r>
      <w:proofErr w:type="spellEnd"/>
      <w:r>
        <w:rPr>
          <w:rFonts w:ascii="Tahoma" w:hAnsi="Tahoma" w:cs="Tahoma"/>
          <w:color w:val="000000"/>
          <w:sz w:val="21"/>
          <w:szCs w:val="21"/>
          <w:bdr w:val="none" w:sz="0" w:space="0" w:color="auto" w:frame="1"/>
          <w:shd w:val="clear" w:color="auto" w:fill="FFFFFF"/>
        </w:rPr>
        <w:t> commitment towards becoming a FedRAMP Third-Party Assessment Organization (3PAO).</w:t>
      </w:r>
      <w:r>
        <w:rPr>
          <w:rFonts w:ascii="Tahoma" w:hAnsi="Tahoma" w:cs="Tahoma"/>
          <w:color w:val="000000"/>
          <w:sz w:val="21"/>
          <w:szCs w:val="21"/>
          <w:bdr w:val="none" w:sz="0" w:space="0" w:color="auto" w:frame="1"/>
        </w:rPr>
        <w:t> </w:t>
      </w:r>
    </w:p>
    <w:p w14:paraId="03A92045" w14:textId="77777777" w:rsidR="002F4F44" w:rsidRDefault="002F4F44" w:rsidP="002F4F4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Tahoma" w:hAnsi="Tahoma" w:cs="Tahoma"/>
          <w:color w:val="000000"/>
          <w:sz w:val="21"/>
          <w:szCs w:val="21"/>
          <w:bdr w:val="none" w:sz="0" w:space="0" w:color="auto" w:frame="1"/>
        </w:rPr>
        <w:t>The accreditation covers </w:t>
      </w:r>
      <w:proofErr w:type="spellStart"/>
      <w:r>
        <w:rPr>
          <w:rFonts w:ascii="Tahoma" w:hAnsi="Tahoma" w:cs="Tahoma"/>
          <w:color w:val="000000"/>
          <w:sz w:val="21"/>
          <w:szCs w:val="21"/>
          <w:bdr w:val="none" w:sz="0" w:space="0" w:color="auto" w:frame="1"/>
        </w:rPr>
        <w:t>Credio</w:t>
      </w:r>
      <w:proofErr w:type="spellEnd"/>
      <w:r>
        <w:rPr>
          <w:rFonts w:ascii="Tahoma" w:hAnsi="Tahoma" w:cs="Tahoma"/>
          <w:color w:val="000000"/>
          <w:sz w:val="21"/>
          <w:szCs w:val="21"/>
          <w:bdr w:val="none" w:sz="0" w:space="0" w:color="auto" w:frame="1"/>
        </w:rPr>
        <w:t> for conducting security assessments in the following areas: </w:t>
      </w:r>
    </w:p>
    <w:p w14:paraId="0A47BB1B" w14:textId="77777777" w:rsidR="002F4F44" w:rsidRDefault="002F4F44" w:rsidP="002F4F44">
      <w:pPr>
        <w:pStyle w:val="NormalWeb"/>
        <w:shd w:val="clear" w:color="auto" w:fill="FFFFFF"/>
        <w:spacing w:before="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r>
        <w:rPr>
          <w:rFonts w:ascii="Tahoma" w:hAnsi="Tahoma" w:cs="Tahoma"/>
          <w:color w:val="000000"/>
          <w:sz w:val="21"/>
          <w:szCs w:val="21"/>
          <w:bdr w:val="none" w:sz="0" w:space="0" w:color="auto" w:frame="1"/>
        </w:rPr>
        <w:t>PCI </w:t>
      </w:r>
    </w:p>
    <w:p w14:paraId="7CE1AB95" w14:textId="77777777" w:rsidR="002F4F44" w:rsidRDefault="002F4F44" w:rsidP="002F4F44">
      <w:pPr>
        <w:pStyle w:val="NormalWeb"/>
        <w:shd w:val="clear" w:color="auto" w:fill="FFFFFF"/>
        <w:spacing w:before="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r>
        <w:rPr>
          <w:rFonts w:ascii="Tahoma" w:hAnsi="Tahoma" w:cs="Tahoma"/>
          <w:color w:val="000000"/>
          <w:sz w:val="21"/>
          <w:szCs w:val="21"/>
          <w:bdr w:val="none" w:sz="0" w:space="0" w:color="auto" w:frame="1"/>
        </w:rPr>
        <w:t>HIPAA </w:t>
      </w:r>
    </w:p>
    <w:p w14:paraId="78807CD8" w14:textId="77777777" w:rsidR="002F4F44" w:rsidRDefault="002F4F44" w:rsidP="002F4F44">
      <w:pPr>
        <w:pStyle w:val="NormalWeb"/>
        <w:shd w:val="clear" w:color="auto" w:fill="FFFFFF"/>
        <w:spacing w:before="0" w:after="0" w:afterAutospacing="0"/>
        <w:ind w:left="1080"/>
        <w:textAlignment w:val="baseline"/>
        <w:rPr>
          <w:rFonts w:ascii="Calibri" w:hAnsi="Calibri" w:cs="Calibri"/>
          <w:color w:val="201F1E"/>
          <w:sz w:val="22"/>
          <w:szCs w:val="22"/>
        </w:rPr>
      </w:pPr>
      <w:r>
        <w:rPr>
          <w:rFonts w:ascii="Symbol" w:hAnsi="Symbol" w:cs="Calibri"/>
          <w:color w:val="201F1E"/>
          <w:sz w:val="20"/>
          <w:szCs w:val="20"/>
          <w:bdr w:val="none" w:sz="0" w:space="0" w:color="auto" w:frame="1"/>
        </w:rPr>
        <w:t>·</w:t>
      </w:r>
      <w:r>
        <w:rPr>
          <w:color w:val="201F1E"/>
          <w:sz w:val="14"/>
          <w:szCs w:val="14"/>
          <w:bdr w:val="none" w:sz="0" w:space="0" w:color="auto" w:frame="1"/>
        </w:rPr>
        <w:t>         </w:t>
      </w:r>
      <w:r>
        <w:rPr>
          <w:rFonts w:ascii="Tahoma" w:hAnsi="Tahoma" w:cs="Tahoma"/>
          <w:color w:val="000000"/>
          <w:sz w:val="21"/>
          <w:szCs w:val="21"/>
          <w:bdr w:val="none" w:sz="0" w:space="0" w:color="auto" w:frame="1"/>
        </w:rPr>
        <w:t>SOC II </w:t>
      </w:r>
      <w:r>
        <w:rPr>
          <w:rFonts w:ascii="inherit" w:hAnsi="inherit" w:cs="Calibri"/>
          <w:color w:val="000000"/>
          <w:sz w:val="21"/>
          <w:szCs w:val="21"/>
          <w:bdr w:val="none" w:sz="0" w:space="0" w:color="auto" w:frame="1"/>
        </w:rPr>
        <w:t> </w:t>
      </w:r>
      <w:r>
        <w:rPr>
          <w:rFonts w:ascii="Tahoma" w:hAnsi="Tahoma" w:cs="Tahoma"/>
          <w:color w:val="000000"/>
          <w:sz w:val="21"/>
          <w:szCs w:val="21"/>
          <w:bdr w:val="none" w:sz="0" w:space="0" w:color="auto" w:frame="1"/>
        </w:rPr>
        <w:t> </w:t>
      </w:r>
    </w:p>
    <w:p w14:paraId="74426546" w14:textId="30BE655A" w:rsidR="002F4F44" w:rsidRDefault="002F4F44" w:rsidP="002F4F44">
      <w:pPr>
        <w:pStyle w:val="NormalWeb"/>
        <w:shd w:val="clear" w:color="auto" w:fill="FFFFFF"/>
        <w:spacing w:before="0" w:beforeAutospacing="0" w:after="0" w:afterAutospacing="0"/>
        <w:textAlignment w:val="baseline"/>
        <w:rPr>
          <w:rFonts w:ascii="Tahoma" w:hAnsi="Tahoma" w:cs="Tahoma"/>
          <w:color w:val="000000"/>
          <w:sz w:val="21"/>
          <w:szCs w:val="21"/>
          <w:bdr w:val="none" w:sz="0" w:space="0" w:color="auto" w:frame="1"/>
        </w:rPr>
      </w:pPr>
      <w:r>
        <w:rPr>
          <w:rFonts w:ascii="inherit" w:hAnsi="inherit" w:cs="Calibri"/>
          <w:color w:val="000000"/>
          <w:sz w:val="21"/>
          <w:szCs w:val="21"/>
          <w:bdr w:val="none" w:sz="0" w:space="0" w:color="auto" w:frame="1"/>
        </w:rPr>
        <w:t> </w:t>
      </w:r>
      <w:r>
        <w:rPr>
          <w:rFonts w:ascii="inherit" w:hAnsi="inherit" w:cs="Calibri"/>
          <w:color w:val="000000"/>
          <w:sz w:val="21"/>
          <w:szCs w:val="21"/>
          <w:bdr w:val="none" w:sz="0" w:space="0" w:color="auto" w:frame="1"/>
        </w:rPr>
        <w:br/>
      </w:r>
      <w:r>
        <w:rPr>
          <w:rFonts w:ascii="Tahoma" w:hAnsi="Tahoma" w:cs="Tahoma"/>
          <w:i/>
          <w:iCs/>
          <w:color w:val="000000"/>
          <w:sz w:val="21"/>
          <w:szCs w:val="21"/>
          <w:bdr w:val="none" w:sz="0" w:space="0" w:color="auto" w:frame="1"/>
        </w:rPr>
        <w:t>“Moving critical services to the cloud comes with heighted risk and recent state sponsored cyberattacks increases need for digital defenses exponentially.  </w:t>
      </w:r>
      <w:proofErr w:type="spellStart"/>
      <w:r>
        <w:rPr>
          <w:rFonts w:ascii="Tahoma" w:hAnsi="Tahoma" w:cs="Tahoma"/>
          <w:i/>
          <w:iCs/>
          <w:color w:val="000000"/>
          <w:sz w:val="21"/>
          <w:szCs w:val="21"/>
          <w:bdr w:val="none" w:sz="0" w:space="0" w:color="auto" w:frame="1"/>
        </w:rPr>
        <w:t>Credio</w:t>
      </w:r>
      <w:proofErr w:type="spellEnd"/>
      <w:r>
        <w:rPr>
          <w:rFonts w:ascii="Tahoma" w:hAnsi="Tahoma" w:cs="Tahoma"/>
          <w:i/>
          <w:iCs/>
          <w:color w:val="000000"/>
          <w:sz w:val="21"/>
          <w:szCs w:val="21"/>
          <w:bdr w:val="none" w:sz="0" w:space="0" w:color="auto" w:frame="1"/>
        </w:rPr>
        <w:t> believes FedRAMP sets a level playing field for CSPs based on their role within Government agencies. </w:t>
      </w:r>
      <w:proofErr w:type="spellStart"/>
      <w:r>
        <w:rPr>
          <w:rFonts w:ascii="Tahoma" w:hAnsi="Tahoma" w:cs="Tahoma"/>
          <w:i/>
          <w:iCs/>
          <w:color w:val="000000"/>
          <w:sz w:val="21"/>
          <w:szCs w:val="21"/>
          <w:bdr w:val="none" w:sz="0" w:space="0" w:color="auto" w:frame="1"/>
        </w:rPr>
        <w:t>Credio</w:t>
      </w:r>
      <w:proofErr w:type="spellEnd"/>
      <w:r>
        <w:rPr>
          <w:rFonts w:ascii="Tahoma" w:hAnsi="Tahoma" w:cs="Tahoma"/>
          <w:i/>
          <w:iCs/>
          <w:color w:val="000000"/>
          <w:sz w:val="21"/>
          <w:szCs w:val="21"/>
          <w:bdr w:val="none" w:sz="0" w:space="0" w:color="auto" w:frame="1"/>
        </w:rPr>
        <w:t> is excited to assist CSPs invest appropriately in relevant security controls that will increase their revenue from public sector while gaining trusted adoption to their services.”  Raj Raghavan</w:t>
      </w:r>
      <w:r>
        <w:rPr>
          <w:rFonts w:ascii="Tahoma" w:hAnsi="Tahoma" w:cs="Tahoma"/>
          <w:color w:val="000000"/>
          <w:sz w:val="21"/>
          <w:szCs w:val="21"/>
          <w:bdr w:val="none" w:sz="0" w:space="0" w:color="auto" w:frame="1"/>
        </w:rPr>
        <w:t> </w:t>
      </w:r>
    </w:p>
    <w:p w14:paraId="1342EED0" w14:textId="77777777" w:rsidR="006D4448" w:rsidRDefault="006D4448" w:rsidP="002F4F44">
      <w:pPr>
        <w:pStyle w:val="NormalWeb"/>
        <w:shd w:val="clear" w:color="auto" w:fill="FFFFFF"/>
        <w:spacing w:before="0" w:beforeAutospacing="0" w:after="0" w:afterAutospacing="0"/>
        <w:textAlignment w:val="baseline"/>
        <w:rPr>
          <w:rFonts w:ascii="Calibri" w:hAnsi="Calibri" w:cs="Calibri"/>
          <w:color w:val="201F1E"/>
          <w:sz w:val="22"/>
          <w:szCs w:val="22"/>
        </w:rPr>
      </w:pPr>
    </w:p>
    <w:p w14:paraId="3234238B" w14:textId="77777777" w:rsidR="002F4F44" w:rsidRDefault="002F4F44" w:rsidP="002F4F4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Tahoma" w:hAnsi="Tahoma" w:cs="Tahoma"/>
          <w:color w:val="000000"/>
          <w:sz w:val="21"/>
          <w:szCs w:val="21"/>
          <w:bdr w:val="none" w:sz="0" w:space="0" w:color="auto" w:frame="1"/>
        </w:rPr>
        <w:t>In addition to our FedRAMP readiness services, </w:t>
      </w:r>
      <w:proofErr w:type="spellStart"/>
      <w:r>
        <w:rPr>
          <w:rFonts w:ascii="Tahoma" w:hAnsi="Tahoma" w:cs="Tahoma"/>
          <w:color w:val="000000"/>
          <w:sz w:val="21"/>
          <w:szCs w:val="21"/>
          <w:bdr w:val="none" w:sz="0" w:space="0" w:color="auto" w:frame="1"/>
        </w:rPr>
        <w:t>Credio</w:t>
      </w:r>
      <w:proofErr w:type="spellEnd"/>
      <w:r>
        <w:rPr>
          <w:rFonts w:ascii="Tahoma" w:hAnsi="Tahoma" w:cs="Tahoma"/>
          <w:color w:val="000000"/>
          <w:sz w:val="21"/>
          <w:szCs w:val="21"/>
          <w:bdr w:val="none" w:sz="0" w:space="0" w:color="auto" w:frame="1"/>
        </w:rPr>
        <w:t>, Inc. focusses on building trusted cloud experience.  Our framework enables cloud providers to demonstrate their compliance with industry benchmarks like CIS, ISO, PCI, CSA by mapping implementing relevant controls that scale with user adoption while enabling continuous monitoring of critical cloud assets. </w:t>
      </w:r>
    </w:p>
    <w:p w14:paraId="154461BE" w14:textId="77777777" w:rsidR="002F4F44" w:rsidRDefault="002F4F44" w:rsidP="002F4F44">
      <w:pPr>
        <w:pStyle w:val="NormalWeb"/>
        <w:shd w:val="clear" w:color="auto" w:fill="FFFFFF"/>
        <w:spacing w:before="0" w:beforeAutospacing="0" w:after="0" w:afterAutospacing="0"/>
        <w:textAlignment w:val="baseline"/>
        <w:rPr>
          <w:rFonts w:ascii="Calibri" w:hAnsi="Calibri" w:cs="Calibri"/>
          <w:color w:val="201F1E"/>
          <w:sz w:val="22"/>
          <w:szCs w:val="22"/>
        </w:rPr>
      </w:pPr>
      <w:proofErr w:type="spellStart"/>
      <w:r>
        <w:rPr>
          <w:rFonts w:ascii="Tahoma" w:hAnsi="Tahoma" w:cs="Tahoma"/>
          <w:color w:val="000000"/>
          <w:sz w:val="21"/>
          <w:szCs w:val="21"/>
          <w:bdr w:val="none" w:sz="0" w:space="0" w:color="auto" w:frame="1"/>
        </w:rPr>
        <w:t>Credio</w:t>
      </w:r>
      <w:proofErr w:type="spellEnd"/>
      <w:r>
        <w:rPr>
          <w:rFonts w:ascii="Tahoma" w:hAnsi="Tahoma" w:cs="Tahoma"/>
          <w:color w:val="000000"/>
          <w:sz w:val="21"/>
          <w:szCs w:val="21"/>
          <w:bdr w:val="none" w:sz="0" w:space="0" w:color="auto" w:frame="1"/>
        </w:rPr>
        <w:t> is currently assisting its clients with FedRAMP readiness services and achieving this accreditation is further evidence of </w:t>
      </w:r>
      <w:proofErr w:type="spellStart"/>
      <w:r>
        <w:rPr>
          <w:rFonts w:ascii="Tahoma" w:hAnsi="Tahoma" w:cs="Tahoma"/>
          <w:color w:val="000000"/>
          <w:sz w:val="21"/>
          <w:szCs w:val="21"/>
          <w:bdr w:val="none" w:sz="0" w:space="0" w:color="auto" w:frame="1"/>
        </w:rPr>
        <w:t>Credio</w:t>
      </w:r>
      <w:proofErr w:type="spellEnd"/>
      <w:r>
        <w:rPr>
          <w:rFonts w:ascii="Tahoma" w:hAnsi="Tahoma" w:cs="Tahoma"/>
          <w:color w:val="000000"/>
          <w:sz w:val="21"/>
          <w:szCs w:val="21"/>
          <w:bdr w:val="none" w:sz="0" w:space="0" w:color="auto" w:frame="1"/>
        </w:rPr>
        <w:t>, Inc.’s ongoing commitment to quality of implementing critical security controls.  </w:t>
      </w:r>
    </w:p>
    <w:p w14:paraId="7B666C1E" w14:textId="77777777" w:rsidR="002F4F44" w:rsidRDefault="002F4F44" w:rsidP="002F4F4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Tahoma" w:hAnsi="Tahoma" w:cs="Tahoma"/>
          <w:color w:val="000000"/>
          <w:sz w:val="21"/>
          <w:szCs w:val="21"/>
          <w:bdr w:val="none" w:sz="0" w:space="0" w:color="auto" w:frame="1"/>
        </w:rPr>
        <w:t> </w:t>
      </w:r>
    </w:p>
    <w:p w14:paraId="234EC0A6" w14:textId="77777777" w:rsidR="002F4F44" w:rsidRDefault="002F4F44" w:rsidP="002F4F4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Tahoma" w:hAnsi="Tahoma" w:cs="Tahoma"/>
          <w:b/>
          <w:bCs/>
          <w:color w:val="000000"/>
          <w:sz w:val="21"/>
          <w:szCs w:val="21"/>
          <w:bdr w:val="none" w:sz="0" w:space="0" w:color="auto" w:frame="1"/>
        </w:rPr>
        <w:t>About </w:t>
      </w:r>
      <w:proofErr w:type="spellStart"/>
      <w:r>
        <w:rPr>
          <w:rFonts w:ascii="Tahoma" w:hAnsi="Tahoma" w:cs="Tahoma"/>
          <w:b/>
          <w:bCs/>
          <w:color w:val="000000"/>
          <w:sz w:val="21"/>
          <w:szCs w:val="21"/>
          <w:bdr w:val="none" w:sz="0" w:space="0" w:color="auto" w:frame="1"/>
        </w:rPr>
        <w:t>Credio</w:t>
      </w:r>
      <w:proofErr w:type="spellEnd"/>
      <w:r>
        <w:rPr>
          <w:rFonts w:ascii="Tahoma" w:hAnsi="Tahoma" w:cs="Tahoma"/>
          <w:b/>
          <w:bCs/>
          <w:color w:val="000000"/>
          <w:sz w:val="21"/>
          <w:szCs w:val="21"/>
          <w:bdr w:val="none" w:sz="0" w:space="0" w:color="auto" w:frame="1"/>
        </w:rPr>
        <w:t>, Inc.</w:t>
      </w:r>
      <w:r>
        <w:rPr>
          <w:rFonts w:ascii="Tahoma" w:hAnsi="Tahoma" w:cs="Tahoma"/>
          <w:color w:val="000000"/>
          <w:sz w:val="21"/>
          <w:szCs w:val="21"/>
          <w:bdr w:val="none" w:sz="0" w:space="0" w:color="auto" w:frame="1"/>
        </w:rPr>
        <w:t>  </w:t>
      </w:r>
    </w:p>
    <w:p w14:paraId="1F415CA0" w14:textId="77777777" w:rsidR="002F4F44" w:rsidRDefault="002F4F44" w:rsidP="002F4F44">
      <w:pPr>
        <w:pStyle w:val="NormalWeb"/>
        <w:shd w:val="clear" w:color="auto" w:fill="FFFFFF"/>
        <w:spacing w:before="0" w:beforeAutospacing="0" w:after="0" w:afterAutospacing="0"/>
        <w:textAlignment w:val="baseline"/>
        <w:rPr>
          <w:rFonts w:ascii="Calibri" w:hAnsi="Calibri" w:cs="Calibri"/>
          <w:color w:val="201F1E"/>
          <w:sz w:val="22"/>
          <w:szCs w:val="22"/>
        </w:rPr>
      </w:pPr>
      <w:proofErr w:type="spellStart"/>
      <w:r>
        <w:rPr>
          <w:rFonts w:ascii="Tahoma" w:hAnsi="Tahoma" w:cs="Tahoma"/>
          <w:color w:val="000000"/>
          <w:sz w:val="21"/>
          <w:szCs w:val="21"/>
          <w:bdr w:val="none" w:sz="0" w:space="0" w:color="auto" w:frame="1"/>
        </w:rPr>
        <w:t>Credio</w:t>
      </w:r>
      <w:proofErr w:type="spellEnd"/>
      <w:r>
        <w:rPr>
          <w:rFonts w:ascii="Tahoma" w:hAnsi="Tahoma" w:cs="Tahoma"/>
          <w:color w:val="000000"/>
          <w:sz w:val="21"/>
          <w:szCs w:val="21"/>
          <w:bdr w:val="none" w:sz="0" w:space="0" w:color="auto" w:frame="1"/>
        </w:rPr>
        <w:t>, Inc. is an advisory firm focused on payments and cloud security.  Our consultants with an average of 15 years in the industry help implement security and privacy controls that enable product adoption with a trusted experience.  </w:t>
      </w:r>
    </w:p>
    <w:p w14:paraId="298B2212" w14:textId="77777777" w:rsidR="002F4F44" w:rsidRDefault="002F4F44" w:rsidP="002F4F44">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Tahoma" w:hAnsi="Tahoma" w:cs="Tahoma"/>
          <w:color w:val="000000"/>
          <w:sz w:val="21"/>
          <w:szCs w:val="21"/>
          <w:bdr w:val="none" w:sz="0" w:space="0" w:color="auto" w:frame="1"/>
        </w:rPr>
        <w:t>To learn more about </w:t>
      </w:r>
      <w:proofErr w:type="spellStart"/>
      <w:r>
        <w:rPr>
          <w:rFonts w:ascii="Tahoma" w:hAnsi="Tahoma" w:cs="Tahoma"/>
          <w:color w:val="000000"/>
          <w:sz w:val="21"/>
          <w:szCs w:val="21"/>
          <w:bdr w:val="none" w:sz="0" w:space="0" w:color="auto" w:frame="1"/>
        </w:rPr>
        <w:t>Credio</w:t>
      </w:r>
      <w:proofErr w:type="spellEnd"/>
      <w:r>
        <w:rPr>
          <w:rFonts w:ascii="Tahoma" w:hAnsi="Tahoma" w:cs="Tahoma"/>
          <w:color w:val="000000"/>
          <w:sz w:val="21"/>
          <w:szCs w:val="21"/>
          <w:bdr w:val="none" w:sz="0" w:space="0" w:color="auto" w:frame="1"/>
        </w:rPr>
        <w:t>, Inc. please visit </w:t>
      </w:r>
      <w:hyperlink r:id="rId5" w:tgtFrame="_blank" w:history="1">
        <w:r>
          <w:rPr>
            <w:rStyle w:val="Hyperlink"/>
            <w:rFonts w:ascii="Tahoma" w:hAnsi="Tahoma" w:cs="Tahoma"/>
            <w:color w:val="0563C1"/>
            <w:sz w:val="21"/>
            <w:szCs w:val="21"/>
            <w:bdr w:val="none" w:sz="0" w:space="0" w:color="auto" w:frame="1"/>
          </w:rPr>
          <w:t>www.crediopartners.com</w:t>
        </w:r>
      </w:hyperlink>
      <w:r>
        <w:rPr>
          <w:rFonts w:ascii="Tahoma" w:hAnsi="Tahoma" w:cs="Tahoma"/>
          <w:color w:val="000000"/>
          <w:sz w:val="21"/>
          <w:szCs w:val="21"/>
          <w:u w:val="single"/>
          <w:bdr w:val="none" w:sz="0" w:space="0" w:color="auto" w:frame="1"/>
        </w:rPr>
        <w:t>.</w:t>
      </w:r>
      <w:r>
        <w:rPr>
          <w:rFonts w:ascii="Tahoma" w:hAnsi="Tahoma" w:cs="Tahoma"/>
          <w:color w:val="000000"/>
          <w:sz w:val="21"/>
          <w:szCs w:val="21"/>
          <w:bdr w:val="none" w:sz="0" w:space="0" w:color="auto" w:frame="1"/>
        </w:rPr>
        <w:t> </w:t>
      </w:r>
    </w:p>
    <w:p w14:paraId="4B64DE40" w14:textId="1EE77645" w:rsidR="0D158C62" w:rsidRPr="002F4F44" w:rsidRDefault="0D158C62" w:rsidP="002F4F44"/>
    <w:sectPr w:rsidR="0D158C62" w:rsidRPr="002F4F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063212"/>
    <w:multiLevelType w:val="hybridMultilevel"/>
    <w:tmpl w:val="2552376E"/>
    <w:lvl w:ilvl="0" w:tplc="D3AE6208">
      <w:start w:val="1"/>
      <w:numFmt w:val="bullet"/>
      <w:lvlText w:val=""/>
      <w:lvlJc w:val="left"/>
      <w:pPr>
        <w:ind w:left="720" w:hanging="360"/>
      </w:pPr>
      <w:rPr>
        <w:rFonts w:ascii="Symbol" w:hAnsi="Symbol" w:hint="default"/>
      </w:rPr>
    </w:lvl>
    <w:lvl w:ilvl="1" w:tplc="430CACA6">
      <w:start w:val="1"/>
      <w:numFmt w:val="bullet"/>
      <w:lvlText w:val="o"/>
      <w:lvlJc w:val="left"/>
      <w:pPr>
        <w:ind w:left="1440" w:hanging="360"/>
      </w:pPr>
      <w:rPr>
        <w:rFonts w:ascii="Courier New" w:hAnsi="Courier New" w:hint="default"/>
      </w:rPr>
    </w:lvl>
    <w:lvl w:ilvl="2" w:tplc="D62254A6">
      <w:start w:val="1"/>
      <w:numFmt w:val="bullet"/>
      <w:lvlText w:val=""/>
      <w:lvlJc w:val="left"/>
      <w:pPr>
        <w:ind w:left="2160" w:hanging="360"/>
      </w:pPr>
      <w:rPr>
        <w:rFonts w:ascii="Wingdings" w:hAnsi="Wingdings" w:hint="default"/>
      </w:rPr>
    </w:lvl>
    <w:lvl w:ilvl="3" w:tplc="F740033C">
      <w:start w:val="1"/>
      <w:numFmt w:val="bullet"/>
      <w:lvlText w:val=""/>
      <w:lvlJc w:val="left"/>
      <w:pPr>
        <w:ind w:left="2880" w:hanging="360"/>
      </w:pPr>
      <w:rPr>
        <w:rFonts w:ascii="Symbol" w:hAnsi="Symbol" w:hint="default"/>
      </w:rPr>
    </w:lvl>
    <w:lvl w:ilvl="4" w:tplc="7A7AF5D6">
      <w:start w:val="1"/>
      <w:numFmt w:val="bullet"/>
      <w:lvlText w:val="o"/>
      <w:lvlJc w:val="left"/>
      <w:pPr>
        <w:ind w:left="3600" w:hanging="360"/>
      </w:pPr>
      <w:rPr>
        <w:rFonts w:ascii="Courier New" w:hAnsi="Courier New" w:hint="default"/>
      </w:rPr>
    </w:lvl>
    <w:lvl w:ilvl="5" w:tplc="B8D2D0F6">
      <w:start w:val="1"/>
      <w:numFmt w:val="bullet"/>
      <w:lvlText w:val=""/>
      <w:lvlJc w:val="left"/>
      <w:pPr>
        <w:ind w:left="4320" w:hanging="360"/>
      </w:pPr>
      <w:rPr>
        <w:rFonts w:ascii="Wingdings" w:hAnsi="Wingdings" w:hint="default"/>
      </w:rPr>
    </w:lvl>
    <w:lvl w:ilvl="6" w:tplc="E636275E">
      <w:start w:val="1"/>
      <w:numFmt w:val="bullet"/>
      <w:lvlText w:val=""/>
      <w:lvlJc w:val="left"/>
      <w:pPr>
        <w:ind w:left="5040" w:hanging="360"/>
      </w:pPr>
      <w:rPr>
        <w:rFonts w:ascii="Symbol" w:hAnsi="Symbol" w:hint="default"/>
      </w:rPr>
    </w:lvl>
    <w:lvl w:ilvl="7" w:tplc="B9129610">
      <w:start w:val="1"/>
      <w:numFmt w:val="bullet"/>
      <w:lvlText w:val="o"/>
      <w:lvlJc w:val="left"/>
      <w:pPr>
        <w:ind w:left="5760" w:hanging="360"/>
      </w:pPr>
      <w:rPr>
        <w:rFonts w:ascii="Courier New" w:hAnsi="Courier New" w:hint="default"/>
      </w:rPr>
    </w:lvl>
    <w:lvl w:ilvl="8" w:tplc="71A0655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4A7AEB"/>
    <w:rsid w:val="00016668"/>
    <w:rsid w:val="001631ED"/>
    <w:rsid w:val="002F4F44"/>
    <w:rsid w:val="006295E4"/>
    <w:rsid w:val="0066060D"/>
    <w:rsid w:val="00694F60"/>
    <w:rsid w:val="006D4448"/>
    <w:rsid w:val="00715046"/>
    <w:rsid w:val="009A06BF"/>
    <w:rsid w:val="00FA7B5C"/>
    <w:rsid w:val="015074BC"/>
    <w:rsid w:val="034F1074"/>
    <w:rsid w:val="04165AE7"/>
    <w:rsid w:val="060AB13B"/>
    <w:rsid w:val="0B68E35B"/>
    <w:rsid w:val="0CF5F2BA"/>
    <w:rsid w:val="0D158C62"/>
    <w:rsid w:val="0D2C1E2C"/>
    <w:rsid w:val="0D4A7AEB"/>
    <w:rsid w:val="12E9408A"/>
    <w:rsid w:val="12F64701"/>
    <w:rsid w:val="1365343E"/>
    <w:rsid w:val="13C8F411"/>
    <w:rsid w:val="141FCB47"/>
    <w:rsid w:val="1473D614"/>
    <w:rsid w:val="1614613A"/>
    <w:rsid w:val="1714A43F"/>
    <w:rsid w:val="19133FF7"/>
    <w:rsid w:val="1B8C65EF"/>
    <w:rsid w:val="1BB55567"/>
    <w:rsid w:val="1C8400EA"/>
    <w:rsid w:val="1F1FB624"/>
    <w:rsid w:val="1F82817B"/>
    <w:rsid w:val="1FCA5EDB"/>
    <w:rsid w:val="206B3E74"/>
    <w:rsid w:val="20EC6E6E"/>
    <w:rsid w:val="224326B7"/>
    <w:rsid w:val="225C1288"/>
    <w:rsid w:val="25649474"/>
    <w:rsid w:val="2630559D"/>
    <w:rsid w:val="27198D32"/>
    <w:rsid w:val="28744915"/>
    <w:rsid w:val="28AD700D"/>
    <w:rsid w:val="29754831"/>
    <w:rsid w:val="2A512DF4"/>
    <w:rsid w:val="2B5E72E6"/>
    <w:rsid w:val="2BD3D5F8"/>
    <w:rsid w:val="2D672C06"/>
    <w:rsid w:val="2DA8F2E4"/>
    <w:rsid w:val="2ECCA65F"/>
    <w:rsid w:val="30A7471B"/>
    <w:rsid w:val="3203573B"/>
    <w:rsid w:val="35838187"/>
    <w:rsid w:val="37CB9C84"/>
    <w:rsid w:val="37E24202"/>
    <w:rsid w:val="38B771F1"/>
    <w:rsid w:val="39B3C412"/>
    <w:rsid w:val="3BEA17EB"/>
    <w:rsid w:val="3CDDBCB5"/>
    <w:rsid w:val="3D51C2E3"/>
    <w:rsid w:val="3D569022"/>
    <w:rsid w:val="3D85CA23"/>
    <w:rsid w:val="42BB4018"/>
    <w:rsid w:val="4333D5DC"/>
    <w:rsid w:val="484D5B12"/>
    <w:rsid w:val="4864375B"/>
    <w:rsid w:val="48ABDD74"/>
    <w:rsid w:val="4AE040DF"/>
    <w:rsid w:val="4B621311"/>
    <w:rsid w:val="4E8738FA"/>
    <w:rsid w:val="4F0BA494"/>
    <w:rsid w:val="501258E4"/>
    <w:rsid w:val="50A774F5"/>
    <w:rsid w:val="50DB7C35"/>
    <w:rsid w:val="50FA7F8D"/>
    <w:rsid w:val="53C5ED5A"/>
    <w:rsid w:val="54131CF7"/>
    <w:rsid w:val="54C10CCC"/>
    <w:rsid w:val="54FEF264"/>
    <w:rsid w:val="55AEED58"/>
    <w:rsid w:val="5730A391"/>
    <w:rsid w:val="577FB5B7"/>
    <w:rsid w:val="5E1CCA94"/>
    <w:rsid w:val="5EF2D68C"/>
    <w:rsid w:val="5F6FD850"/>
    <w:rsid w:val="60358325"/>
    <w:rsid w:val="611C3FA1"/>
    <w:rsid w:val="6174632A"/>
    <w:rsid w:val="61B31238"/>
    <w:rsid w:val="675779E5"/>
    <w:rsid w:val="678F274E"/>
    <w:rsid w:val="68338E93"/>
    <w:rsid w:val="69C2DEE2"/>
    <w:rsid w:val="6D6DD4AD"/>
    <w:rsid w:val="6DE987D2"/>
    <w:rsid w:val="6DF5BDB2"/>
    <w:rsid w:val="6FBD0B71"/>
    <w:rsid w:val="701286BE"/>
    <w:rsid w:val="71E25E5F"/>
    <w:rsid w:val="7284F38A"/>
    <w:rsid w:val="72E17045"/>
    <w:rsid w:val="735B2030"/>
    <w:rsid w:val="74C765DD"/>
    <w:rsid w:val="75A26581"/>
    <w:rsid w:val="76619A91"/>
    <w:rsid w:val="7B8940A5"/>
    <w:rsid w:val="7F9B7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7AEB"/>
  <w15:chartTrackingRefBased/>
  <w15:docId w15:val="{F8BAE115-C7F7-4590-B1FA-B9F8A088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NormalWeb">
    <w:name w:val="Normal (Web)"/>
    <w:basedOn w:val="Normal"/>
    <w:uiPriority w:val="99"/>
    <w:semiHidden/>
    <w:unhideWhenUsed/>
    <w:rsid w:val="002F4F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1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ediopartn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290</Words>
  <Characters>1655</Characters>
  <Application>Microsoft Office Word</Application>
  <DocSecurity>0</DocSecurity>
  <Lines>13</Lines>
  <Paragraphs>3</Paragraphs>
  <ScaleCrop>false</ScaleCrop>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Rasmussen</dc:creator>
  <cp:keywords/>
  <dc:description/>
  <cp:lastModifiedBy>Yalile FB</cp:lastModifiedBy>
  <cp:revision>10</cp:revision>
  <dcterms:created xsi:type="dcterms:W3CDTF">2021-03-06T00:32:00Z</dcterms:created>
  <dcterms:modified xsi:type="dcterms:W3CDTF">2021-03-10T01:35:00Z</dcterms:modified>
</cp:coreProperties>
</file>