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8577" w14:textId="77777777" w:rsidR="00743446" w:rsidRDefault="000A37B2">
      <w:pPr>
        <w:pBdr>
          <w:top w:val="nil"/>
          <w:left w:val="nil"/>
          <w:bottom w:val="nil"/>
          <w:right w:val="nil"/>
          <w:between w:val="nil"/>
        </w:pBdr>
        <w:spacing w:after="800"/>
        <w:jc w:val="center"/>
        <w:rPr>
          <w:color w:val="000000"/>
        </w:rPr>
      </w:pPr>
      <w:bookmarkStart w:id="0" w:name="_heading=h.gjdgxs" w:colFirst="0" w:colLast="0"/>
      <w:bookmarkEnd w:id="0"/>
      <w:r>
        <w:rPr>
          <w:noProof/>
          <w:color w:val="000000"/>
        </w:rPr>
        <w:drawing>
          <wp:inline distT="0" distB="0" distL="0" distR="0" wp14:anchorId="347209C8" wp14:editId="15EE019E">
            <wp:extent cx="1744980" cy="1198889"/>
            <wp:effectExtent l="0" t="0" r="0" b="0"/>
            <wp:docPr id="2" name="image1.jpg" descr="Company logo"/>
            <wp:cNvGraphicFramePr/>
            <a:graphic xmlns:a="http://schemas.openxmlformats.org/drawingml/2006/main">
              <a:graphicData uri="http://schemas.openxmlformats.org/drawingml/2006/picture">
                <pic:pic xmlns:pic="http://schemas.openxmlformats.org/drawingml/2006/picture">
                  <pic:nvPicPr>
                    <pic:cNvPr id="0" name="image1.jpg" descr="Company logo"/>
                    <pic:cNvPicPr preferRelativeResize="0"/>
                  </pic:nvPicPr>
                  <pic:blipFill>
                    <a:blip r:embed="rId8"/>
                    <a:srcRect/>
                    <a:stretch>
                      <a:fillRect/>
                    </a:stretch>
                  </pic:blipFill>
                  <pic:spPr>
                    <a:xfrm>
                      <a:off x="0" y="0"/>
                      <a:ext cx="1744980" cy="1198889"/>
                    </a:xfrm>
                    <a:prstGeom prst="rect">
                      <a:avLst/>
                    </a:prstGeom>
                    <a:ln/>
                  </pic:spPr>
                </pic:pic>
              </a:graphicData>
            </a:graphic>
          </wp:inline>
        </w:drawing>
      </w:r>
    </w:p>
    <w:tbl>
      <w:tblPr>
        <w:tblStyle w:val="a"/>
        <w:tblW w:w="9270" w:type="dxa"/>
        <w:tblLayout w:type="fixed"/>
        <w:tblLook w:val="0400" w:firstRow="0" w:lastRow="0" w:firstColumn="0" w:lastColumn="0" w:noHBand="0" w:noVBand="1"/>
      </w:tblPr>
      <w:tblGrid>
        <w:gridCol w:w="4710"/>
        <w:gridCol w:w="4560"/>
      </w:tblGrid>
      <w:tr w:rsidR="00743446" w14:paraId="36E68F63" w14:textId="77777777">
        <w:tc>
          <w:tcPr>
            <w:tcW w:w="4710" w:type="dxa"/>
            <w:tcMar>
              <w:left w:w="0" w:type="dxa"/>
              <w:right w:w="0" w:type="dxa"/>
            </w:tcMar>
          </w:tcPr>
          <w:p w14:paraId="177BFAD4" w14:textId="77777777" w:rsidR="00743446" w:rsidRDefault="00743446">
            <w:pPr>
              <w:widowControl w:val="0"/>
              <w:pBdr>
                <w:top w:val="nil"/>
                <w:left w:val="nil"/>
                <w:bottom w:val="nil"/>
                <w:right w:val="nil"/>
                <w:between w:val="nil"/>
              </w:pBdr>
              <w:spacing w:after="0"/>
              <w:rPr>
                <w:color w:val="000000"/>
              </w:rPr>
            </w:pPr>
          </w:p>
          <w:tbl>
            <w:tblPr>
              <w:tblStyle w:val="a0"/>
              <w:tblW w:w="4711" w:type="dxa"/>
              <w:tblBorders>
                <w:insideV w:val="single" w:sz="18" w:space="0" w:color="FFFFFF"/>
              </w:tblBorders>
              <w:tblLayout w:type="fixed"/>
              <w:tblLook w:val="0400" w:firstRow="0" w:lastRow="0" w:firstColumn="0" w:lastColumn="0" w:noHBand="0" w:noVBand="1"/>
            </w:tblPr>
            <w:tblGrid>
              <w:gridCol w:w="1315"/>
              <w:gridCol w:w="3396"/>
            </w:tblGrid>
            <w:tr w:rsidR="00743446" w14:paraId="2B9F5DC2" w14:textId="77777777">
              <w:tc>
                <w:tcPr>
                  <w:tcW w:w="1315" w:type="dxa"/>
                </w:tcPr>
                <w:p w14:paraId="0A524D44" w14:textId="77777777" w:rsidR="00743446" w:rsidRDefault="000A37B2">
                  <w:pPr>
                    <w:pStyle w:val="Heading2"/>
                  </w:pPr>
                  <w:r>
                    <w:t>Contact</w:t>
                  </w:r>
                </w:p>
              </w:tc>
              <w:tc>
                <w:tcPr>
                  <w:tcW w:w="3396" w:type="dxa"/>
                </w:tcPr>
                <w:p w14:paraId="126AF0AA" w14:textId="77777777" w:rsidR="00743446" w:rsidRDefault="000A37B2">
                  <w:pPr>
                    <w:spacing w:after="0" w:line="240" w:lineRule="auto"/>
                  </w:pPr>
                  <w:r>
                    <w:t>Hassan Abbas EA</w:t>
                  </w:r>
                </w:p>
              </w:tc>
            </w:tr>
            <w:tr w:rsidR="00743446" w14:paraId="70AB1F30" w14:textId="77777777">
              <w:tc>
                <w:tcPr>
                  <w:tcW w:w="1315" w:type="dxa"/>
                </w:tcPr>
                <w:p w14:paraId="1BDCB791" w14:textId="77777777" w:rsidR="00743446" w:rsidRDefault="000A37B2">
                  <w:pPr>
                    <w:pStyle w:val="Heading2"/>
                  </w:pPr>
                  <w:r>
                    <w:t>Telephone</w:t>
                  </w:r>
                </w:p>
              </w:tc>
              <w:tc>
                <w:tcPr>
                  <w:tcW w:w="3396" w:type="dxa"/>
                </w:tcPr>
                <w:p w14:paraId="7D7AF237" w14:textId="77777777" w:rsidR="00743446" w:rsidRDefault="000A37B2">
                  <w:pPr>
                    <w:spacing w:after="0" w:line="240" w:lineRule="auto"/>
                  </w:pPr>
                  <w:r>
                    <w:t>615-398-2939</w:t>
                  </w:r>
                </w:p>
              </w:tc>
            </w:tr>
            <w:tr w:rsidR="00743446" w14:paraId="762A6E05" w14:textId="77777777">
              <w:tc>
                <w:tcPr>
                  <w:tcW w:w="1315" w:type="dxa"/>
                </w:tcPr>
                <w:p w14:paraId="6FD87456" w14:textId="77777777" w:rsidR="00743446" w:rsidRDefault="000A37B2">
                  <w:pPr>
                    <w:pStyle w:val="Heading2"/>
                  </w:pPr>
                  <w:r>
                    <w:t>Email</w:t>
                  </w:r>
                </w:p>
              </w:tc>
              <w:tc>
                <w:tcPr>
                  <w:tcW w:w="3396" w:type="dxa"/>
                </w:tcPr>
                <w:p w14:paraId="5DF409D7" w14:textId="77777777" w:rsidR="00743446" w:rsidRDefault="000A37B2">
                  <w:pPr>
                    <w:spacing w:after="0" w:line="240" w:lineRule="auto"/>
                  </w:pPr>
                  <w:hyperlink r:id="rId9">
                    <w:r>
                      <w:rPr>
                        <w:color w:val="1155CC"/>
                        <w:u w:val="single"/>
                      </w:rPr>
                      <w:t>help@eztaxez.com</w:t>
                    </w:r>
                  </w:hyperlink>
                  <w:r>
                    <w:t xml:space="preserve"> </w:t>
                  </w:r>
                </w:p>
              </w:tc>
            </w:tr>
            <w:tr w:rsidR="00743446" w14:paraId="323A3C85" w14:textId="77777777">
              <w:tc>
                <w:tcPr>
                  <w:tcW w:w="1315" w:type="dxa"/>
                </w:tcPr>
                <w:p w14:paraId="54CBABC1" w14:textId="77777777" w:rsidR="00743446" w:rsidRDefault="000A37B2">
                  <w:pPr>
                    <w:pStyle w:val="Heading2"/>
                  </w:pPr>
                  <w:r>
                    <w:t>Website</w:t>
                  </w:r>
                </w:p>
              </w:tc>
              <w:tc>
                <w:tcPr>
                  <w:tcW w:w="3396" w:type="dxa"/>
                </w:tcPr>
                <w:p w14:paraId="2488E15C" w14:textId="77777777" w:rsidR="00743446" w:rsidRDefault="000A37B2">
                  <w:pPr>
                    <w:spacing w:after="0" w:line="240" w:lineRule="auto"/>
                  </w:pPr>
                  <w:hyperlink r:id="rId10">
                    <w:r>
                      <w:rPr>
                        <w:color w:val="1155CC"/>
                        <w:u w:val="single"/>
                      </w:rPr>
                      <w:t>www.hqtax.com</w:t>
                    </w:r>
                  </w:hyperlink>
                  <w:r>
                    <w:t xml:space="preserve"> </w:t>
                  </w:r>
                </w:p>
              </w:tc>
            </w:tr>
          </w:tbl>
          <w:p w14:paraId="7F3099B2" w14:textId="77777777" w:rsidR="00743446" w:rsidRDefault="00743446">
            <w:pPr>
              <w:pBdr>
                <w:top w:val="nil"/>
                <w:left w:val="nil"/>
                <w:bottom w:val="nil"/>
                <w:right w:val="nil"/>
                <w:between w:val="nil"/>
              </w:pBdr>
              <w:spacing w:after="0" w:line="240" w:lineRule="auto"/>
              <w:jc w:val="center"/>
              <w:rPr>
                <w:color w:val="000000"/>
              </w:rPr>
            </w:pPr>
          </w:p>
        </w:tc>
        <w:tc>
          <w:tcPr>
            <w:tcW w:w="4560" w:type="dxa"/>
            <w:tcMar>
              <w:left w:w="0" w:type="dxa"/>
              <w:right w:w="0" w:type="dxa"/>
            </w:tcMar>
          </w:tcPr>
          <w:p w14:paraId="06854AA3" w14:textId="77777777" w:rsidR="00743446" w:rsidRDefault="000A37B2">
            <w:pPr>
              <w:pStyle w:val="Heading1"/>
            </w:pPr>
            <w:r>
              <w:t>FOR IMMEDIATE RELEASE</w:t>
            </w:r>
          </w:p>
          <w:p w14:paraId="428D0430" w14:textId="77777777" w:rsidR="00743446" w:rsidRDefault="000A37B2">
            <w:pPr>
              <w:pStyle w:val="Heading1"/>
            </w:pPr>
            <w:r>
              <w:t>July 19, 2021</w:t>
            </w:r>
          </w:p>
        </w:tc>
      </w:tr>
    </w:tbl>
    <w:p w14:paraId="46179CA9" w14:textId="77777777" w:rsidR="00743446" w:rsidRDefault="000A37B2" w:rsidP="0030379F">
      <w:pPr>
        <w:pStyle w:val="Title"/>
        <w:ind w:firstLine="720"/>
      </w:pPr>
      <w:r>
        <w:t xml:space="preserve">HQ Tax &amp; Financial, Inc of Illinois is the First IRS ITIN </w:t>
      </w:r>
      <w:r>
        <w:t>Certifying Acceptance Agent for Pakistan</w:t>
      </w:r>
    </w:p>
    <w:p w14:paraId="12E1D51E" w14:textId="1B758FAA" w:rsidR="00743446" w:rsidRDefault="000A37B2">
      <w:pPr>
        <w:pStyle w:val="Subtitle"/>
        <w:rPr>
          <w:color w:val="000000"/>
          <w:sz w:val="22"/>
          <w:szCs w:val="22"/>
        </w:rPr>
      </w:pPr>
      <w:r>
        <w:t xml:space="preserve">The Chicago-area </w:t>
      </w:r>
      <w:r w:rsidR="0030379F">
        <w:t>f</w:t>
      </w:r>
      <w:r>
        <w:t xml:space="preserve">irm is able to help Pakistani individuals access the US </w:t>
      </w:r>
      <w:r w:rsidR="0030379F">
        <w:t>B</w:t>
      </w:r>
      <w:r>
        <w:t xml:space="preserve">anking </w:t>
      </w:r>
      <w:r w:rsidR="0030379F">
        <w:t>S</w:t>
      </w:r>
      <w:r>
        <w:t xml:space="preserve">ystem, </w:t>
      </w:r>
      <w:proofErr w:type="gramStart"/>
      <w:r w:rsidR="0030379F">
        <w:t>B</w:t>
      </w:r>
      <w:r>
        <w:t>uy</w:t>
      </w:r>
      <w:proofErr w:type="gramEnd"/>
      <w:r>
        <w:t xml:space="preserve"> real estate, </w:t>
      </w:r>
      <w:r w:rsidR="0030379F">
        <w:t>G</w:t>
      </w:r>
      <w:r>
        <w:t>et a driver’s license, and more.</w:t>
      </w:r>
    </w:p>
    <w:p w14:paraId="7CB98B94" w14:textId="77777777" w:rsidR="00743446" w:rsidRDefault="000A37B2">
      <w:r>
        <w:t>Oakbrook Terrace</w:t>
      </w:r>
      <w:r>
        <w:t xml:space="preserve">, </w:t>
      </w:r>
      <w:proofErr w:type="gramStart"/>
      <w:r>
        <w:t xml:space="preserve">IL,  </w:t>
      </w:r>
      <w:r>
        <w:rPr>
          <w:color w:val="808080"/>
        </w:rPr>
        <w:t>July</w:t>
      </w:r>
      <w:proofErr w:type="gramEnd"/>
      <w:r>
        <w:rPr>
          <w:color w:val="808080"/>
        </w:rPr>
        <w:t xml:space="preserve"> 19, 2021 </w:t>
      </w:r>
      <w:r>
        <w:t>– HQ Tax &amp; Financial, Inc, of Oakbrook Terrace, IL, is the first ITIN Certifying Acceptance Agent (CAA) for Pakistani nationals. This IRS approval opens the door for Pakistani citizens to get their ITIN (Individual Taxpayer Identificat</w:t>
      </w:r>
      <w:r>
        <w:t xml:space="preserve">ion Number). ITINs are issued to individuals who need a taxpayer identification </w:t>
      </w:r>
      <w:proofErr w:type="gramStart"/>
      <w:r>
        <w:t>number, but</w:t>
      </w:r>
      <w:proofErr w:type="gramEnd"/>
      <w:r>
        <w:t xml:space="preserve"> aren’t eligible for a Social Security Number (SSN) from the Social Security Administration. HQ Tax &amp; Financial helps people avoid mailing their passports or waiting</w:t>
      </w:r>
      <w:r>
        <w:t xml:space="preserve"> for important documents to be returned. More information is available at </w:t>
      </w:r>
      <w:hyperlink r:id="rId11">
        <w:r>
          <w:rPr>
            <w:color w:val="1155CC"/>
            <w:u w:val="single"/>
          </w:rPr>
          <w:t>www.hqtax.com</w:t>
        </w:r>
      </w:hyperlink>
      <w:r>
        <w:t xml:space="preserve">. </w:t>
      </w:r>
    </w:p>
    <w:p w14:paraId="752CA8FE" w14:textId="77777777" w:rsidR="00743446" w:rsidRDefault="000A37B2">
      <w:pPr>
        <w:pBdr>
          <w:top w:val="nil"/>
          <w:left w:val="nil"/>
          <w:bottom w:val="nil"/>
          <w:right w:val="nil"/>
          <w:between w:val="nil"/>
        </w:pBdr>
        <w:spacing w:before="200" w:after="160"/>
        <w:ind w:left="864" w:right="864"/>
        <w:rPr>
          <w:i/>
        </w:rPr>
      </w:pPr>
      <w:r>
        <w:rPr>
          <w:i/>
        </w:rPr>
        <w:t>“There has never been a certifying agent for Pakistan,” said Hassan Abbas, President of HQ Tax and Financial, Inc. “We’re very</w:t>
      </w:r>
      <w:r>
        <w:rPr>
          <w:i/>
        </w:rPr>
        <w:t xml:space="preserve"> proud to be the first. This allows us to help Pakistanis to get their ITINs faster and easier than ever before. This opens the door for thousands of great Pakistani entrepreneurs to more fully participate in the US economy, including paying taxes and open</w:t>
      </w:r>
      <w:r>
        <w:rPr>
          <w:i/>
        </w:rPr>
        <w:t>ing a bank account.”</w:t>
      </w:r>
    </w:p>
    <w:p w14:paraId="4D5C1EC5" w14:textId="77777777" w:rsidR="00743446" w:rsidRDefault="000A37B2">
      <w:pPr>
        <w:pBdr>
          <w:top w:val="nil"/>
          <w:left w:val="nil"/>
          <w:bottom w:val="nil"/>
          <w:right w:val="nil"/>
          <w:between w:val="nil"/>
        </w:pBdr>
        <w:spacing w:before="200" w:after="160"/>
        <w:ind w:right="864"/>
      </w:pPr>
      <w:r>
        <w:t>Getting an ITIN provides Pakistani immigrants with many benefits:</w:t>
      </w:r>
    </w:p>
    <w:p w14:paraId="62154734" w14:textId="77777777" w:rsidR="00743446" w:rsidRDefault="000A37B2">
      <w:pPr>
        <w:numPr>
          <w:ilvl w:val="0"/>
          <w:numId w:val="1"/>
        </w:numPr>
        <w:spacing w:after="0"/>
      </w:pPr>
      <w:r>
        <w:t>Open a US interest-bearing bank account</w:t>
      </w:r>
    </w:p>
    <w:p w14:paraId="65597559" w14:textId="77777777" w:rsidR="00743446" w:rsidRDefault="000A37B2">
      <w:pPr>
        <w:numPr>
          <w:ilvl w:val="0"/>
          <w:numId w:val="1"/>
        </w:numPr>
        <w:spacing w:after="0"/>
      </w:pPr>
      <w:r>
        <w:t>Obtain a driver’s license</w:t>
      </w:r>
    </w:p>
    <w:p w14:paraId="33F7C0E8" w14:textId="77777777" w:rsidR="00743446" w:rsidRDefault="000A37B2">
      <w:pPr>
        <w:numPr>
          <w:ilvl w:val="0"/>
          <w:numId w:val="1"/>
        </w:numPr>
        <w:spacing w:after="0"/>
      </w:pPr>
      <w:r>
        <w:t xml:space="preserve">Proof of residency </w:t>
      </w:r>
    </w:p>
    <w:p w14:paraId="42B05B7F" w14:textId="77777777" w:rsidR="00743446" w:rsidRDefault="000A37B2">
      <w:pPr>
        <w:numPr>
          <w:ilvl w:val="0"/>
          <w:numId w:val="1"/>
        </w:numPr>
        <w:spacing w:after="0"/>
      </w:pPr>
      <w:r>
        <w:t>Fulfill application requirements for everything from applying for a loan to getting</w:t>
      </w:r>
      <w:r>
        <w:t xml:space="preserve"> a US credit card</w:t>
      </w:r>
    </w:p>
    <w:p w14:paraId="02B30177" w14:textId="77777777" w:rsidR="00743446" w:rsidRDefault="000A37B2">
      <w:pPr>
        <w:numPr>
          <w:ilvl w:val="0"/>
          <w:numId w:val="1"/>
        </w:numPr>
        <w:spacing w:after="0"/>
      </w:pPr>
      <w:r>
        <w:lastRenderedPageBreak/>
        <w:t>Meet requirements for opening an ecommerce business</w:t>
      </w:r>
    </w:p>
    <w:p w14:paraId="284BDC0B" w14:textId="77777777" w:rsidR="00743446" w:rsidRDefault="000A37B2">
      <w:pPr>
        <w:numPr>
          <w:ilvl w:val="0"/>
          <w:numId w:val="1"/>
        </w:numPr>
        <w:spacing w:after="0"/>
      </w:pPr>
      <w:r>
        <w:t>Add credibility to immigration status by having a legal recognition from the US government</w:t>
      </w:r>
    </w:p>
    <w:p w14:paraId="0145531E" w14:textId="77777777" w:rsidR="00743446" w:rsidRDefault="000A37B2">
      <w:pPr>
        <w:numPr>
          <w:ilvl w:val="0"/>
          <w:numId w:val="1"/>
        </w:numPr>
        <w:spacing w:after="0"/>
      </w:pPr>
      <w:r>
        <w:t>Demonstrate credibility by paying taxes, manage finances, and investing in the US</w:t>
      </w:r>
    </w:p>
    <w:p w14:paraId="5B924418" w14:textId="77777777" w:rsidR="00743446" w:rsidRDefault="000A37B2">
      <w:pPr>
        <w:numPr>
          <w:ilvl w:val="0"/>
          <w:numId w:val="1"/>
        </w:numPr>
      </w:pPr>
      <w:r>
        <w:t>Purchase real estate in the US</w:t>
      </w:r>
    </w:p>
    <w:p w14:paraId="154B2E48" w14:textId="77777777" w:rsidR="00743446" w:rsidRDefault="000A37B2">
      <w:r>
        <w:t xml:space="preserve">HQ Tax &amp; Financial </w:t>
      </w:r>
      <w:proofErr w:type="gramStart"/>
      <w:r>
        <w:t>is able to</w:t>
      </w:r>
      <w:proofErr w:type="gramEnd"/>
      <w:r>
        <w:t xml:space="preserve"> prepare and sign ITIN applications for submission to the IRS. As a Certifying Acceptance Agent, HQ Tax has a dire</w:t>
      </w:r>
      <w:r>
        <w:t>ct phone line to the IRS’s Austin, Texas, office to answer questions and guarantee that all documents are prepared correctly.</w:t>
      </w:r>
    </w:p>
    <w:p w14:paraId="003B2BC5" w14:textId="77777777" w:rsidR="00743446" w:rsidRDefault="000A37B2">
      <w:r>
        <w:t>With a perfect 5.0 rating on Google, HQ Tax has a proven track record of customer satisfaction.</w:t>
      </w:r>
    </w:p>
    <w:p w14:paraId="790ACD19" w14:textId="77777777" w:rsidR="00743446" w:rsidRDefault="000A37B2">
      <w:pPr>
        <w:rPr>
          <w:i/>
        </w:rPr>
      </w:pPr>
      <w:r>
        <w:rPr>
          <w:i/>
        </w:rPr>
        <w:t>“Great service, high professionali</w:t>
      </w:r>
      <w:r>
        <w:rPr>
          <w:i/>
        </w:rPr>
        <w:t>sm. I was given good advice. I highly recommend HQ Tax to everyone who needs tax services.” - Usman Shahid</w:t>
      </w:r>
    </w:p>
    <w:p w14:paraId="2E6B428D" w14:textId="77777777" w:rsidR="00743446" w:rsidRDefault="000A37B2">
      <w:pPr>
        <w:rPr>
          <w:i/>
        </w:rPr>
      </w:pPr>
      <w:r>
        <w:rPr>
          <w:i/>
        </w:rPr>
        <w:t>“I worked with Mr. Hassan Abbas to obtain ITIN for my spouse. I have to say Mr. Hassan is very professional, responsive, and knowledgeable. The entir</w:t>
      </w:r>
      <w:r>
        <w:rPr>
          <w:i/>
        </w:rPr>
        <w:t xml:space="preserve">e process from obtaining ITIN to filing taxes went very smoothly. Mr. Hassan made sure that all my questions were answered, even on holidays!  Highly recommended!!” - </w:t>
      </w:r>
      <w:proofErr w:type="spellStart"/>
      <w:r>
        <w:rPr>
          <w:i/>
        </w:rPr>
        <w:t>Jahanzaib</w:t>
      </w:r>
      <w:proofErr w:type="spellEnd"/>
      <w:r>
        <w:rPr>
          <w:i/>
        </w:rPr>
        <w:t xml:space="preserve"> Siddiqui</w:t>
      </w:r>
    </w:p>
    <w:p w14:paraId="63E4F6DC" w14:textId="77777777" w:rsidR="00743446" w:rsidRDefault="000A37B2">
      <w:r>
        <w:t xml:space="preserve">HQ Tax &amp; Financial, Inc is an Illinois-based tax preparation and </w:t>
      </w:r>
      <w:proofErr w:type="spellStart"/>
      <w:r>
        <w:t>accouting</w:t>
      </w:r>
      <w:proofErr w:type="spellEnd"/>
      <w:r>
        <w:t xml:space="preserve"> firm located in Oakbrook Terrace, IL. They offer services in banking, tax preparation, financial accounting, IRS audit representation, real estate, and ITIN certifying acceptance. W</w:t>
      </w:r>
      <w:r>
        <w:t>ith decades of experience and a commitment to continuing education, the team at HQ Tax are the world’s only IRS approved ITIN Certifying Acceptance Agent (CAA) for Pakistan.</w:t>
      </w:r>
    </w:p>
    <w:p w14:paraId="61DF3561" w14:textId="77777777" w:rsidR="00743446" w:rsidRDefault="000A37B2">
      <w:pPr>
        <w:jc w:val="center"/>
      </w:pPr>
      <w:r>
        <w:t># # #</w:t>
      </w:r>
    </w:p>
    <w:p w14:paraId="4B0FB3D0" w14:textId="77777777" w:rsidR="00743446" w:rsidRDefault="000A37B2">
      <w:r>
        <w:t>If you would like more information about this topic, please contact Hassan A</w:t>
      </w:r>
      <w:r>
        <w:t xml:space="preserve">bbas at </w:t>
      </w:r>
      <w:r>
        <w:rPr>
          <w:color w:val="808080"/>
        </w:rPr>
        <w:t>615-398-2939</w:t>
      </w:r>
      <w:r>
        <w:t xml:space="preserve"> or email at </w:t>
      </w:r>
      <w:hyperlink r:id="rId12">
        <w:r>
          <w:rPr>
            <w:color w:val="1155CC"/>
            <w:u w:val="single"/>
          </w:rPr>
          <w:t>help@eztaxez.com</w:t>
        </w:r>
      </w:hyperlink>
      <w:r>
        <w:t xml:space="preserve">. </w:t>
      </w:r>
    </w:p>
    <w:sectPr w:rsidR="00743446">
      <w:foot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AC21" w14:textId="77777777" w:rsidR="000A37B2" w:rsidRDefault="000A37B2">
      <w:pPr>
        <w:spacing w:after="0" w:line="240" w:lineRule="auto"/>
      </w:pPr>
      <w:r>
        <w:separator/>
      </w:r>
    </w:p>
  </w:endnote>
  <w:endnote w:type="continuationSeparator" w:id="0">
    <w:p w14:paraId="3C0CF509" w14:textId="77777777" w:rsidR="000A37B2" w:rsidRDefault="000A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FADE" w14:textId="77777777" w:rsidR="00743446" w:rsidRDefault="000A37B2">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sidR="0030379F">
      <w:rPr>
        <w:color w:val="000000"/>
      </w:rPr>
      <w:fldChar w:fldCharType="separate"/>
    </w:r>
    <w:r w:rsidR="0030379F">
      <w:rPr>
        <w:noProof/>
        <w:color w:val="000000"/>
      </w:rPr>
      <w:t>2</w:t>
    </w:r>
    <w:r>
      <w:rPr>
        <w:color w:val="000000"/>
      </w:rPr>
      <w:fldChar w:fldCharType="end"/>
    </w:r>
  </w:p>
  <w:p w14:paraId="616EF522" w14:textId="77777777" w:rsidR="00743446" w:rsidRDefault="00743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8717" w14:textId="77777777" w:rsidR="000A37B2" w:rsidRDefault="000A37B2">
      <w:pPr>
        <w:spacing w:after="0" w:line="240" w:lineRule="auto"/>
      </w:pPr>
      <w:r>
        <w:separator/>
      </w:r>
    </w:p>
  </w:footnote>
  <w:footnote w:type="continuationSeparator" w:id="0">
    <w:p w14:paraId="7C330D08" w14:textId="77777777" w:rsidR="000A37B2" w:rsidRDefault="000A3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72ED3"/>
    <w:multiLevelType w:val="multilevel"/>
    <w:tmpl w:val="14F42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46"/>
    <w:rsid w:val="000A37B2"/>
    <w:rsid w:val="0030379F"/>
    <w:rsid w:val="00743446"/>
    <w:rsid w:val="00EB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87F"/>
  <w15:docId w15:val="{93F175CC-5B30-47CD-89D7-F5E54A4E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jc w:val="right"/>
      <w:outlineLvl w:val="0"/>
    </w:pPr>
    <w:rPr>
      <w:color w:val="4A66AC" w:themeColor="accent1"/>
      <w:sz w:val="28"/>
      <w:szCs w:val="28"/>
    </w:rPr>
  </w:style>
  <w:style w:type="paragraph" w:styleId="Heading2">
    <w:name w:val="heading 2"/>
    <w:basedOn w:val="Normal"/>
    <w:next w:val="Normal"/>
    <w:uiPriority w:val="9"/>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semiHidden/>
    <w:unhideWhenUsed/>
    <w:qFormat/>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semiHidden/>
    <w:unhideWhenUsed/>
    <w:qFormat/>
    <w:pPr>
      <w:spacing w:after="0" w:line="240" w:lineRule="auto"/>
      <w:ind w:right="115"/>
      <w:jc w:val="right"/>
      <w:outlineLvl w:val="3"/>
    </w:pPr>
    <w:rPr>
      <w:b/>
      <w:bCs/>
      <w:i/>
      <w:iCs/>
      <w:color w:val="4A66AC"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after="0"/>
      <w:jc w:val="center"/>
      <w:outlineLvl w:val="0"/>
    </w:pPr>
    <w:rPr>
      <w:rFonts w:asciiTheme="majorHAnsi" w:eastAsiaTheme="majorEastAsia" w:hAnsiTheme="majorHAnsi" w:cstheme="majorBidi"/>
      <w:caps/>
      <w:color w:val="4A66AC" w:themeColor="accent1"/>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uiPriority w:val="11"/>
    <w:qFormat/>
    <w:pPr>
      <w:spacing w:before="160" w:after="480"/>
      <w:jc w:val="center"/>
    </w:pPr>
    <w:rPr>
      <w:color w:val="4A66AC"/>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ztaxe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ta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qtax.com" TargetMode="External"/><Relationship Id="rId4" Type="http://schemas.openxmlformats.org/officeDocument/2006/relationships/settings" Target="settings.xml"/><Relationship Id="rId9" Type="http://schemas.openxmlformats.org/officeDocument/2006/relationships/hyperlink" Target="mailto:help@eztaxe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Ejl/mnfQdBHQw9klslpwjmhg==">AMUW2mW2LW1XJ0xiiDzXuoSIVmeQiTzvI5Ipss/AZMw6s3XHkwcy91NcPABWMh9PGMVP6oT6W3gQjHDn1sFaXSA1shGbL3Tnagy1Si9+pdRuqWZJisQ8VcSmHiXWkom4rcY47rb50lWa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Peryea</dc:creator>
  <cp:lastModifiedBy>Abbas, Hassan</cp:lastModifiedBy>
  <cp:revision>2</cp:revision>
  <dcterms:created xsi:type="dcterms:W3CDTF">2013-08-24T15:40:00Z</dcterms:created>
  <dcterms:modified xsi:type="dcterms:W3CDTF">2021-07-25T04:53:00Z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