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1C88" w14:textId="77777777" w:rsidR="00460E91" w:rsidRDefault="00F247C2">
      <w:pPr>
        <w:pStyle w:val="Heading1"/>
      </w:pPr>
      <w:r>
        <w:t>Institute for Digital Asset Innovation</w:t>
      </w:r>
    </w:p>
    <w:p w14:paraId="5F6C836B" w14:textId="77777777" w:rsidR="00460E91" w:rsidRDefault="00F247C2">
      <w:pPr>
        <w:jc w:val="center"/>
      </w:pPr>
      <w:r>
        <w:rPr>
          <w:i/>
          <w:iCs/>
          <w:sz w:val="24"/>
          <w:szCs w:val="24"/>
        </w:rPr>
        <w:t>Executive Overview</w:t>
      </w:r>
    </w:p>
    <w:p w14:paraId="60FA7D01" w14:textId="77777777" w:rsidR="00460E91" w:rsidRDefault="00F247C2">
      <w:pPr>
        <w:spacing w:after="240"/>
        <w:jc w:val="center"/>
      </w:pPr>
      <w:r>
        <w:rPr>
          <w:sz w:val="20"/>
          <w:szCs w:val="20"/>
        </w:rPr>
        <w:t>https://idai.org/</w:t>
      </w:r>
    </w:p>
    <w:p w14:paraId="049A871A" w14:textId="77777777" w:rsidR="00460E91" w:rsidRDefault="00F247C2">
      <w:pPr>
        <w:pStyle w:val="Heading2"/>
      </w:pPr>
      <w:r>
        <w:t>Mission</w:t>
      </w:r>
    </w:p>
    <w:p w14:paraId="373DADF6" w14:textId="77777777" w:rsidR="00460E91" w:rsidRDefault="00F247C2">
      <w:pPr>
        <w:spacing w:after="180"/>
      </w:pPr>
      <w:r>
        <w:t>The Institute for Digital Asset Innovation (IDAI) advances responsible innovation across digital governance, industrial systems, and emerging technologies. As the only Wyoming DUNA-structured nonprofit operating with transparent DAO governance, IDAI bridges policy compliance, technical feasibility, and market commercialization to accelerate institutional adoption of digital assets.</w:t>
      </w:r>
    </w:p>
    <w:p w14:paraId="54479513" w14:textId="77777777" w:rsidR="00460E91" w:rsidRDefault="00F247C2">
      <w:pPr>
        <w:pStyle w:val="Heading2"/>
      </w:pPr>
      <w:r>
        <w:t>Unique Value Proposition</w:t>
      </w:r>
    </w:p>
    <w:p w14:paraId="592EEA85" w14:textId="77777777" w:rsidR="00460E91" w:rsidRDefault="00F247C2">
      <w:pPr>
        <w:spacing w:after="180"/>
      </w:pPr>
      <w:r>
        <w:t>IDAI is the only organization integrating three strategic centers to deliver end-to-end real-world asset tokenization and digital asset innovation: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7560"/>
      </w:tblGrid>
      <w:tr w:rsidR="00460E91" w14:paraId="01BD0C08"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77E7CA61" w14:textId="77777777" w:rsidR="00460E91" w:rsidRDefault="00F247C2">
            <w:r>
              <w:rPr>
                <w:b/>
                <w:bCs/>
              </w:rPr>
              <w:t>CDGS</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4BD1D1" w14:textId="77777777" w:rsidR="00460E91" w:rsidRDefault="00F247C2">
            <w:r>
              <w:rPr>
                <w:b/>
                <w:bCs/>
              </w:rPr>
              <w:t xml:space="preserve">Center for Digital Governance and Standards – </w:t>
            </w:r>
            <w:r>
              <w:t>Regulatory compliance, Blockchain Maturity Model (BMM) framework, governance alignment</w:t>
            </w:r>
          </w:p>
        </w:tc>
      </w:tr>
      <w:tr w:rsidR="00460E91" w14:paraId="0316ABF7"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4C833EDC" w14:textId="77777777" w:rsidR="00460E91" w:rsidRDefault="00F247C2">
            <w:r>
              <w:rPr>
                <w:b/>
                <w:bCs/>
              </w:rPr>
              <w:t>CIIS</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0F615A" w14:textId="77777777" w:rsidR="00460E91" w:rsidRDefault="00F247C2">
            <w:r>
              <w:rPr>
                <w:b/>
                <w:bCs/>
              </w:rPr>
              <w:t xml:space="preserve">Center for Industrial Innovation Systems – </w:t>
            </w:r>
            <w:r>
              <w:t>Technical feasibility validation, digital twin integration, industrial standards compliance</w:t>
            </w:r>
          </w:p>
        </w:tc>
      </w:tr>
      <w:tr w:rsidR="00460E91" w14:paraId="41FA5E62"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D5E8F0"/>
            <w:tcMar>
              <w:top w:w="60" w:type="dxa"/>
              <w:left w:w="100" w:type="dxa"/>
              <w:bottom w:w="60" w:type="dxa"/>
              <w:right w:w="100" w:type="dxa"/>
            </w:tcMar>
          </w:tcPr>
          <w:p w14:paraId="17CFD649" w14:textId="77777777" w:rsidR="00460E91" w:rsidRDefault="00F247C2">
            <w:r>
              <w:rPr>
                <w:b/>
                <w:bCs/>
              </w:rPr>
              <w:t>CDEET</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5C60CD" w14:textId="77777777" w:rsidR="00460E91" w:rsidRDefault="00F247C2">
            <w:r>
              <w:rPr>
                <w:b/>
                <w:bCs/>
              </w:rPr>
              <w:t xml:space="preserve">Center for Digital Economy and Emerging Technologies – </w:t>
            </w:r>
            <w:r>
              <w:t>Commercialization pathways, market readiness, investor diligence support</w:t>
            </w:r>
          </w:p>
        </w:tc>
      </w:tr>
    </w:tbl>
    <w:p w14:paraId="3D039B23" w14:textId="77777777" w:rsidR="00460E91" w:rsidRDefault="00460E91">
      <w:pPr>
        <w:spacing w:after="120"/>
      </w:pPr>
    </w:p>
    <w:p w14:paraId="4E6356C5" w14:textId="77777777" w:rsidR="00460E91" w:rsidRDefault="00F247C2">
      <w:pPr>
        <w:pStyle w:val="Heading2"/>
      </w:pPr>
      <w:r>
        <w:t>Flagship Initiative: RWA Tokenization</w:t>
      </w:r>
    </w:p>
    <w:p w14:paraId="5404A13A" w14:textId="77777777" w:rsidR="00460E91" w:rsidRDefault="00F247C2">
      <w:pPr>
        <w:spacing w:after="100"/>
      </w:pPr>
      <w:r>
        <w:t>IDAI's Real-World Asset Tokenization Initiative is the industry's first comprehensive service converting physical and digital assets into compliant, programmable digital securities. Validated through strategic partnerships including Space Phoenix Systems (2025 'Most Fundable Company in America'), IDAI serves:</w:t>
      </w:r>
    </w:p>
    <w:p w14:paraId="50AA09DB" w14:textId="77777777" w:rsidR="00460E91" w:rsidRDefault="00F247C2">
      <w:pPr>
        <w:pStyle w:val="ListParagraph"/>
        <w:numPr>
          <w:ilvl w:val="0"/>
          <w:numId w:val="2"/>
        </w:numPr>
      </w:pPr>
      <w:r>
        <w:rPr>
          <w:b/>
          <w:bCs/>
        </w:rPr>
        <w:t xml:space="preserve">Infrastructure Projects: </w:t>
      </w:r>
      <w:r>
        <w:t>Space systems, renewable energy, transportation networks</w:t>
      </w:r>
    </w:p>
    <w:p w14:paraId="264903F5" w14:textId="77777777" w:rsidR="00460E91" w:rsidRDefault="00F247C2">
      <w:pPr>
        <w:pStyle w:val="ListParagraph"/>
        <w:numPr>
          <w:ilvl w:val="0"/>
          <w:numId w:val="2"/>
        </w:numPr>
      </w:pPr>
      <w:r>
        <w:rPr>
          <w:b/>
          <w:bCs/>
        </w:rPr>
        <w:t xml:space="preserve">Industrial Systems: </w:t>
      </w:r>
      <w:r>
        <w:t>Manufacturing equipment, supply chain platforms, IoT systems</w:t>
      </w:r>
    </w:p>
    <w:p w14:paraId="5A2988F9" w14:textId="77777777" w:rsidR="00460E91" w:rsidRDefault="00F247C2">
      <w:pPr>
        <w:pStyle w:val="ListParagraph"/>
        <w:numPr>
          <w:ilvl w:val="0"/>
          <w:numId w:val="2"/>
        </w:numPr>
      </w:pPr>
      <w:r>
        <w:rPr>
          <w:b/>
          <w:bCs/>
        </w:rPr>
        <w:t xml:space="preserve">Intellectual Property: </w:t>
      </w:r>
      <w:r>
        <w:t>Patents, copyrights, research data</w:t>
      </w:r>
    </w:p>
    <w:p w14:paraId="0678906D" w14:textId="77777777" w:rsidR="00460E91" w:rsidRDefault="00F247C2">
      <w:pPr>
        <w:pStyle w:val="ListParagraph"/>
        <w:numPr>
          <w:ilvl w:val="0"/>
          <w:numId w:val="2"/>
        </w:numPr>
        <w:spacing w:after="180"/>
      </w:pPr>
      <w:r>
        <w:rPr>
          <w:b/>
          <w:bCs/>
        </w:rPr>
        <w:t xml:space="preserve">Digital Enterprises: </w:t>
      </w:r>
      <w:r>
        <w:t>SaaS platforms, data marketplaces, AI models</w:t>
      </w:r>
    </w:p>
    <w:p w14:paraId="5A496283" w14:textId="77777777" w:rsidR="00460E91" w:rsidRDefault="00F247C2">
      <w:pPr>
        <w:pStyle w:val="Heading2"/>
      </w:pPr>
      <w:r>
        <w:t>Nine Permanent Working Groups</w:t>
      </w:r>
    </w:p>
    <w:p w14:paraId="4C552F47" w14:textId="77777777" w:rsidR="00460E91" w:rsidRDefault="00F247C2">
      <w:pPr>
        <w:spacing w:after="100"/>
      </w:pPr>
      <w:r>
        <w:t>IDAI convenes cross-sector expertise through permanent working groups addressing critical digital asset challenges:</w:t>
      </w:r>
    </w:p>
    <w:p w14:paraId="7B03A203" w14:textId="77777777" w:rsidR="00460E91" w:rsidRDefault="00F247C2">
      <w:proofErr w:type="spellStart"/>
      <w:r>
        <w:t>BioInnovation</w:t>
      </w:r>
      <w:proofErr w:type="spellEnd"/>
      <w:r>
        <w:t xml:space="preserve"> • Space Systems • DAO Acceleration • Applied AI • FinTech • Digital Identity • Supply Chain • Energy Systems • Regulatory Standards</w:t>
      </w:r>
    </w:p>
    <w:p w14:paraId="556B4A85" w14:textId="77777777" w:rsidR="00460E91" w:rsidRDefault="00460E91">
      <w:pPr>
        <w:spacing w:after="160"/>
      </w:pPr>
    </w:p>
    <w:p w14:paraId="1016ACDB" w14:textId="77777777" w:rsidR="00460E91" w:rsidRDefault="00F247C2">
      <w:pPr>
        <w:pStyle w:val="Heading2"/>
      </w:pPr>
      <w:r>
        <w:t>Competitive Differentiation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720"/>
      </w:tblGrid>
      <w:tr w:rsidR="00460E91" w14:paraId="714115AE"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E8E8E8"/>
            <w:tcMar>
              <w:top w:w="60" w:type="dxa"/>
              <w:left w:w="100" w:type="dxa"/>
              <w:bottom w:w="60" w:type="dxa"/>
              <w:right w:w="100" w:type="dxa"/>
            </w:tcMar>
          </w:tcPr>
          <w:p w14:paraId="50F20D8C" w14:textId="77777777" w:rsidR="00460E91" w:rsidRDefault="00F247C2">
            <w:r>
              <w:rPr>
                <w:b/>
                <w:bCs/>
              </w:rPr>
              <w:t>Other Organizations</w:t>
            </w:r>
          </w:p>
        </w:tc>
        <w:tc>
          <w:tcPr>
            <w:tcW w:w="6720" w:type="dxa"/>
            <w:tcBorders>
              <w:top w:val="single" w:sz="1" w:space="0" w:color="CCCCCC"/>
              <w:left w:val="single" w:sz="1" w:space="0" w:color="CCCCCC"/>
              <w:bottom w:val="single" w:sz="1" w:space="0" w:color="CCCCCC"/>
              <w:right w:val="single" w:sz="1" w:space="0" w:color="CCCCCC"/>
            </w:tcBorders>
            <w:shd w:val="clear" w:color="auto" w:fill="E8E8E8"/>
            <w:tcMar>
              <w:top w:w="60" w:type="dxa"/>
              <w:left w:w="100" w:type="dxa"/>
              <w:bottom w:w="60" w:type="dxa"/>
              <w:right w:w="100" w:type="dxa"/>
            </w:tcMar>
          </w:tcPr>
          <w:p w14:paraId="70FE9257" w14:textId="77777777" w:rsidR="00460E91" w:rsidRDefault="00F247C2">
            <w:r>
              <w:rPr>
                <w:b/>
                <w:bCs/>
              </w:rPr>
              <w:t>IDAI Advantage</w:t>
            </w:r>
          </w:p>
        </w:tc>
      </w:tr>
      <w:tr w:rsidR="00460E91" w14:paraId="3E000B95"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E99AA3" w14:textId="77777777" w:rsidR="00460E91" w:rsidRDefault="00F247C2">
            <w:r>
              <w:rPr>
                <w:sz w:val="20"/>
                <w:szCs w:val="20"/>
              </w:rPr>
              <w:t>Research institutes focus on academic output</w:t>
            </w:r>
          </w:p>
        </w:tc>
        <w:tc>
          <w:tcPr>
            <w:tcW w:w="67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DE44BE" w14:textId="77777777" w:rsidR="00460E91" w:rsidRDefault="00F247C2">
            <w:r>
              <w:rPr>
                <w:sz w:val="20"/>
                <w:szCs w:val="20"/>
              </w:rPr>
              <w:t>Revenue-generating tokenization services with market execution</w:t>
            </w:r>
          </w:p>
        </w:tc>
      </w:tr>
      <w:tr w:rsidR="00460E91" w14:paraId="6578C2B0"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C935D0" w14:textId="77777777" w:rsidR="00460E91" w:rsidRDefault="00F247C2">
            <w:r>
              <w:rPr>
                <w:sz w:val="20"/>
                <w:szCs w:val="20"/>
              </w:rPr>
              <w:t>Policy groups convene without implementation</w:t>
            </w:r>
          </w:p>
        </w:tc>
        <w:tc>
          <w:tcPr>
            <w:tcW w:w="67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222882" w14:textId="77777777" w:rsidR="00460E91" w:rsidRDefault="00F247C2">
            <w:r>
              <w:rPr>
                <w:sz w:val="20"/>
                <w:szCs w:val="20"/>
              </w:rPr>
              <w:t>Policy compliance + technical validation + commercialization</w:t>
            </w:r>
          </w:p>
        </w:tc>
      </w:tr>
      <w:tr w:rsidR="00460E91" w14:paraId="36538D8F"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D1D45E" w14:textId="77777777" w:rsidR="00460E91" w:rsidRDefault="00F247C2">
            <w:r>
              <w:rPr>
                <w:sz w:val="20"/>
                <w:szCs w:val="20"/>
              </w:rPr>
              <w:t>Accelerators provide startup capital</w:t>
            </w:r>
          </w:p>
        </w:tc>
        <w:tc>
          <w:tcPr>
            <w:tcW w:w="67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CD12B5" w14:textId="77777777" w:rsidR="00460E91" w:rsidRDefault="00F247C2">
            <w:r>
              <w:rPr>
                <w:sz w:val="20"/>
                <w:szCs w:val="20"/>
              </w:rPr>
              <w:t>Institutional-grade governance infrastructure and standards</w:t>
            </w:r>
          </w:p>
        </w:tc>
      </w:tr>
      <w:tr w:rsidR="00460E91" w14:paraId="718B3889"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6A7EB1" w14:textId="77777777" w:rsidR="00460E91" w:rsidRDefault="00F247C2">
            <w:r>
              <w:rPr>
                <w:sz w:val="20"/>
                <w:szCs w:val="20"/>
              </w:rPr>
              <w:lastRenderedPageBreak/>
              <w:t>Traditional nonprofits lack transparency</w:t>
            </w:r>
          </w:p>
        </w:tc>
        <w:tc>
          <w:tcPr>
            <w:tcW w:w="67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8B1AAE" w14:textId="77777777" w:rsidR="00460E91" w:rsidRDefault="00F247C2">
            <w:r>
              <w:rPr>
                <w:sz w:val="20"/>
                <w:szCs w:val="20"/>
              </w:rPr>
              <w:t>Wyoming DUNA with on-chain DAO governance and treasury</w:t>
            </w:r>
          </w:p>
        </w:tc>
      </w:tr>
    </w:tbl>
    <w:p w14:paraId="0504C9DF" w14:textId="77777777" w:rsidR="00460E91" w:rsidRDefault="00460E91">
      <w:pPr>
        <w:spacing w:after="160"/>
      </w:pPr>
    </w:p>
    <w:p w14:paraId="23C12B48" w14:textId="77777777" w:rsidR="00460E91" w:rsidRDefault="00F247C2">
      <w:pPr>
        <w:pStyle w:val="Heading2"/>
      </w:pPr>
      <w:r>
        <w:t>Market Opportunity</w:t>
      </w:r>
    </w:p>
    <w:p w14:paraId="44A636A2" w14:textId="77777777" w:rsidR="00460E91" w:rsidRDefault="00F247C2">
      <w:pPr>
        <w:spacing w:after="100"/>
      </w:pPr>
      <w:r>
        <w:t>The global real-world asset tokenization market is projected to reach $16 trillion by 2030. Despite accelerating institutional demand, the market remains fragmented across technology providers, legal advisors, and financial intermediaries—none offering integrated governance, technical validation, and market readiness. IDAI captures this opportunity through end-to-end service delivery that de-risks institutional adoption.</w:t>
      </w:r>
    </w:p>
    <w:p w14:paraId="378AB7A6" w14:textId="77777777" w:rsidR="00460E91" w:rsidRDefault="00F247C2">
      <w:pPr>
        <w:pStyle w:val="Heading2"/>
      </w:pPr>
      <w:r>
        <w:t>Contact &amp; Engagement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7560"/>
      </w:tblGrid>
      <w:tr w:rsidR="00460E91" w14:paraId="12BACA00"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B42A21" w14:textId="77777777" w:rsidR="00460E91" w:rsidRDefault="00F247C2">
            <w:r>
              <w:rPr>
                <w:b/>
                <w:bCs/>
              </w:rPr>
              <w:t>Startups</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DC11120" w14:textId="35E4D72D" w:rsidR="00460E91" w:rsidRDefault="00F247C2">
            <w:r>
              <w:rPr>
                <w:sz w:val="20"/>
                <w:szCs w:val="20"/>
              </w:rPr>
              <w:t xml:space="preserve">Complimentary RWA Tokenization Alignment Assessment: </w:t>
            </w:r>
            <w:r w:rsidR="007118C0" w:rsidRPr="007118C0">
              <w:rPr>
                <w:b/>
                <w:bCs/>
                <w:sz w:val="20"/>
                <w:szCs w:val="20"/>
              </w:rPr>
              <w:t>info</w:t>
            </w:r>
            <w:r>
              <w:rPr>
                <w:b/>
                <w:bCs/>
                <w:sz w:val="20"/>
                <w:szCs w:val="20"/>
              </w:rPr>
              <w:t>@IDAI.org</w:t>
            </w:r>
          </w:p>
        </w:tc>
      </w:tr>
      <w:tr w:rsidR="00460E91" w14:paraId="3FA5E903"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E41F85" w14:textId="77777777" w:rsidR="00460E91" w:rsidRDefault="00F247C2">
            <w:r>
              <w:rPr>
                <w:b/>
                <w:bCs/>
              </w:rPr>
              <w:t>Investors</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99E9AA" w14:textId="6FBA57B6" w:rsidR="00460E91" w:rsidRDefault="00F247C2">
            <w:r>
              <w:rPr>
                <w:sz w:val="20"/>
                <w:szCs w:val="20"/>
              </w:rPr>
              <w:t xml:space="preserve">Vetted tokenization project pipeline access: </w:t>
            </w:r>
            <w:r>
              <w:rPr>
                <w:b/>
                <w:bCs/>
                <w:sz w:val="20"/>
                <w:szCs w:val="20"/>
              </w:rPr>
              <w:t>in</w:t>
            </w:r>
            <w:r w:rsidR="007118C0">
              <w:rPr>
                <w:b/>
                <w:bCs/>
                <w:sz w:val="20"/>
                <w:szCs w:val="20"/>
              </w:rPr>
              <w:t>fo</w:t>
            </w:r>
            <w:r>
              <w:rPr>
                <w:b/>
                <w:bCs/>
                <w:sz w:val="20"/>
                <w:szCs w:val="20"/>
              </w:rPr>
              <w:t>@IDAI.org</w:t>
            </w:r>
          </w:p>
        </w:tc>
      </w:tr>
      <w:tr w:rsidR="00460E91" w14:paraId="22BC746A"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E8F227" w14:textId="77777777" w:rsidR="00460E91" w:rsidRDefault="00F247C2">
            <w:r>
              <w:rPr>
                <w:b/>
                <w:bCs/>
              </w:rPr>
              <w:t>General</w:t>
            </w:r>
          </w:p>
        </w:tc>
        <w:tc>
          <w:tcPr>
            <w:tcW w:w="75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9EA8BF" w14:textId="77777777" w:rsidR="00460E91" w:rsidRDefault="00F247C2">
            <w:r>
              <w:rPr>
                <w:sz w:val="20"/>
                <w:szCs w:val="20"/>
              </w:rPr>
              <w:t>Kevin L. Jackson • Kevin.Jackson@IDAI.org • https://idai.org/</w:t>
            </w:r>
          </w:p>
        </w:tc>
      </w:tr>
    </w:tbl>
    <w:p w14:paraId="32CAD5DC" w14:textId="77777777" w:rsidR="00F247C2" w:rsidRDefault="00F247C2"/>
    <w:sectPr w:rsidR="00F247C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B0E6F"/>
    <w:multiLevelType w:val="hybridMultilevel"/>
    <w:tmpl w:val="D44CF8BC"/>
    <w:lvl w:ilvl="0" w:tplc="D1A8B60A">
      <w:start w:val="1"/>
      <w:numFmt w:val="bullet"/>
      <w:lvlText w:val="●"/>
      <w:lvlJc w:val="left"/>
      <w:pPr>
        <w:ind w:left="720" w:hanging="360"/>
      </w:pPr>
    </w:lvl>
    <w:lvl w:ilvl="1" w:tplc="4AECC648">
      <w:start w:val="1"/>
      <w:numFmt w:val="bullet"/>
      <w:lvlText w:val="○"/>
      <w:lvlJc w:val="left"/>
      <w:pPr>
        <w:ind w:left="1440" w:hanging="360"/>
      </w:pPr>
    </w:lvl>
    <w:lvl w:ilvl="2" w:tplc="6C58EB26">
      <w:start w:val="1"/>
      <w:numFmt w:val="bullet"/>
      <w:lvlText w:val="■"/>
      <w:lvlJc w:val="left"/>
      <w:pPr>
        <w:ind w:left="2160" w:hanging="360"/>
      </w:pPr>
    </w:lvl>
    <w:lvl w:ilvl="3" w:tplc="BA643BB4">
      <w:start w:val="1"/>
      <w:numFmt w:val="bullet"/>
      <w:lvlText w:val="●"/>
      <w:lvlJc w:val="left"/>
      <w:pPr>
        <w:ind w:left="2880" w:hanging="360"/>
      </w:pPr>
    </w:lvl>
    <w:lvl w:ilvl="4" w:tplc="BC9AEF6A">
      <w:start w:val="1"/>
      <w:numFmt w:val="bullet"/>
      <w:lvlText w:val="○"/>
      <w:lvlJc w:val="left"/>
      <w:pPr>
        <w:ind w:left="3600" w:hanging="360"/>
      </w:pPr>
    </w:lvl>
    <w:lvl w:ilvl="5" w:tplc="4ADAEE3E">
      <w:start w:val="1"/>
      <w:numFmt w:val="bullet"/>
      <w:lvlText w:val="■"/>
      <w:lvlJc w:val="left"/>
      <w:pPr>
        <w:ind w:left="4320" w:hanging="360"/>
      </w:pPr>
    </w:lvl>
    <w:lvl w:ilvl="6" w:tplc="6302BD36">
      <w:start w:val="1"/>
      <w:numFmt w:val="bullet"/>
      <w:lvlText w:val="●"/>
      <w:lvlJc w:val="left"/>
      <w:pPr>
        <w:ind w:left="5040" w:hanging="360"/>
      </w:pPr>
    </w:lvl>
    <w:lvl w:ilvl="7" w:tplc="68FC27E4">
      <w:start w:val="1"/>
      <w:numFmt w:val="bullet"/>
      <w:lvlText w:val="●"/>
      <w:lvlJc w:val="left"/>
      <w:pPr>
        <w:ind w:left="5760" w:hanging="360"/>
      </w:pPr>
    </w:lvl>
    <w:lvl w:ilvl="8" w:tplc="B49C621C">
      <w:start w:val="1"/>
      <w:numFmt w:val="bullet"/>
      <w:lvlText w:val="●"/>
      <w:lvlJc w:val="left"/>
      <w:pPr>
        <w:ind w:left="6480" w:hanging="360"/>
      </w:pPr>
    </w:lvl>
  </w:abstractNum>
  <w:abstractNum w:abstractNumId="1" w15:restartNumberingAfterBreak="0">
    <w:nsid w:val="7A530FD6"/>
    <w:multiLevelType w:val="hybridMultilevel"/>
    <w:tmpl w:val="600871D0"/>
    <w:lvl w:ilvl="0" w:tplc="C5D61E24">
      <w:start w:val="1"/>
      <w:numFmt w:val="bullet"/>
      <w:lvlText w:val="•"/>
      <w:lvlJc w:val="left"/>
      <w:pPr>
        <w:spacing w:after="60"/>
        <w:ind w:left="720" w:hanging="360"/>
      </w:pPr>
    </w:lvl>
    <w:lvl w:ilvl="1" w:tplc="B2E8E10A">
      <w:numFmt w:val="decimal"/>
      <w:lvlText w:val=""/>
      <w:lvlJc w:val="left"/>
    </w:lvl>
    <w:lvl w:ilvl="2" w:tplc="D58CFC62">
      <w:numFmt w:val="decimal"/>
      <w:lvlText w:val=""/>
      <w:lvlJc w:val="left"/>
    </w:lvl>
    <w:lvl w:ilvl="3" w:tplc="EAEE5F70">
      <w:numFmt w:val="decimal"/>
      <w:lvlText w:val=""/>
      <w:lvlJc w:val="left"/>
    </w:lvl>
    <w:lvl w:ilvl="4" w:tplc="E45653EC">
      <w:numFmt w:val="decimal"/>
      <w:lvlText w:val=""/>
      <w:lvlJc w:val="left"/>
    </w:lvl>
    <w:lvl w:ilvl="5" w:tplc="D5B62EE6">
      <w:numFmt w:val="decimal"/>
      <w:lvlText w:val=""/>
      <w:lvlJc w:val="left"/>
    </w:lvl>
    <w:lvl w:ilvl="6" w:tplc="A4FA8CB6">
      <w:numFmt w:val="decimal"/>
      <w:lvlText w:val=""/>
      <w:lvlJc w:val="left"/>
    </w:lvl>
    <w:lvl w:ilvl="7" w:tplc="9A46E85E">
      <w:numFmt w:val="decimal"/>
      <w:lvlText w:val=""/>
      <w:lvlJc w:val="left"/>
    </w:lvl>
    <w:lvl w:ilvl="8" w:tplc="0C9C10B8">
      <w:numFmt w:val="decimal"/>
      <w:lvlText w:val=""/>
      <w:lvlJc w:val="left"/>
    </w:lvl>
  </w:abstractNum>
  <w:num w:numId="1" w16cid:durableId="197864868">
    <w:abstractNumId w:val="0"/>
    <w:lvlOverride w:ilvl="0">
      <w:startOverride w:val="1"/>
    </w:lvlOverride>
  </w:num>
  <w:num w:numId="2" w16cid:durableId="65199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91"/>
    <w:rsid w:val="00460E91"/>
    <w:rsid w:val="007118C0"/>
    <w:rsid w:val="00DB5B09"/>
    <w:rsid w:val="00F2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7EB3"/>
  <w15:docId w15:val="{4BE71312-F223-4098-A103-9A680CBC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jc w:val="center"/>
      <w:outlineLvl w:val="0"/>
    </w:pPr>
    <w:rPr>
      <w:b/>
      <w:bCs/>
      <w:sz w:val="32"/>
      <w:szCs w:val="32"/>
    </w:rPr>
  </w:style>
  <w:style w:type="paragraph" w:styleId="Heading2">
    <w:name w:val="heading 2"/>
    <w:uiPriority w:val="9"/>
    <w:unhideWhenUsed/>
    <w:qFormat/>
    <w:pPr>
      <w:spacing w:before="120" w:after="8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Kevin Jackson</cp:lastModifiedBy>
  <cp:revision>2</cp:revision>
  <dcterms:created xsi:type="dcterms:W3CDTF">2026-02-16T01:56:00Z</dcterms:created>
  <dcterms:modified xsi:type="dcterms:W3CDTF">2026-02-16T01:56:00Z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a828de2a-c340-4c14-8823-719685db4df4</vt:lpwstr>
  </property>
</Properties>
</file>